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F9442F">
        <w:t>5</w:t>
      </w:r>
      <w:r w:rsidR="00217ABE">
        <w:t>2</w:t>
      </w:r>
      <w:r w:rsidR="00F9442F">
        <w:t xml:space="preserve"> от </w:t>
      </w:r>
      <w:r w:rsidR="00217ABE">
        <w:t>18</w:t>
      </w:r>
      <w:r w:rsidR="005E5AA6">
        <w:t>.0</w:t>
      </w:r>
      <w:r w:rsidR="00217ABE">
        <w:t>7</w:t>
      </w:r>
      <w:r w:rsidR="005E5AA6">
        <w:t>.2023</w:t>
      </w:r>
    </w:p>
    <w:p w:rsidR="009103B2" w:rsidRPr="00075953" w:rsidRDefault="00E5575B" w:rsidP="00E5575B">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075953" w:rsidRDefault="009103B2" w:rsidP="00BA0EC4">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5D68EF">
        <w:rPr>
          <w:rFonts w:ascii="Times New Roman" w:hAnsi="Times New Roman" w:cs="Times New Roman"/>
          <w:i/>
          <w:sz w:val="24"/>
          <w:szCs w:val="24"/>
        </w:rPr>
        <w:t>государственный налоговый инспектор</w:t>
      </w:r>
      <w:r w:rsidR="005D68EF"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BA0EC4" w:rsidRPr="00BA0EC4" w:rsidRDefault="00BA0EC4" w:rsidP="00BA0EC4">
      <w:pPr>
        <w:pStyle w:val="ConsPlusNormal"/>
        <w:ind w:firstLine="567"/>
        <w:jc w:val="both"/>
        <w:rPr>
          <w:rFonts w:ascii="Times New Roman" w:hAnsi="Times New Roman" w:cs="Times New Roman"/>
          <w:sz w:val="24"/>
          <w:szCs w:val="24"/>
          <w:u w:val="single"/>
        </w:rPr>
      </w:pPr>
      <w:r w:rsidRPr="00BA0EC4">
        <w:rPr>
          <w:rFonts w:ascii="Times New Roman" w:hAnsi="Times New Roman" w:cs="Times New Roman"/>
          <w:sz w:val="24"/>
          <w:szCs w:val="24"/>
          <w:u w:val="single"/>
        </w:rPr>
        <w:t>Базовые квалификационные требования:</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xml:space="preserve">а) наличие высшего образования не ниже уровня </w:t>
      </w:r>
      <w:proofErr w:type="spellStart"/>
      <w:r w:rsidRPr="00BA0EC4">
        <w:rPr>
          <w:rFonts w:ascii="Times New Roman" w:hAnsi="Times New Roman" w:cs="Times New Roman"/>
          <w:sz w:val="24"/>
          <w:szCs w:val="24"/>
        </w:rPr>
        <w:t>бакалавриата</w:t>
      </w:r>
      <w:proofErr w:type="spellEnd"/>
      <w:r w:rsidRPr="00BA0EC4">
        <w:rPr>
          <w:rFonts w:ascii="Times New Roman" w:hAnsi="Times New Roman" w:cs="Times New Roman"/>
          <w:sz w:val="24"/>
          <w:szCs w:val="24"/>
        </w:rPr>
        <w:t>;</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б) без предъявления требования к стажу;</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в) наличие базовых знаний:</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государственного языка Российской Федерации (русского языка);</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   </w:t>
      </w:r>
    </w:p>
    <w:p w:rsidR="00BA0EC4" w:rsidRPr="00BA0EC4" w:rsidRDefault="00BA0EC4" w:rsidP="00BA0EC4">
      <w:pPr>
        <w:pStyle w:val="ConsPlusNormal"/>
        <w:ind w:firstLine="540"/>
        <w:jc w:val="both"/>
        <w:rPr>
          <w:rFonts w:ascii="Times New Roman" w:hAnsi="Times New Roman" w:cs="Times New Roman"/>
          <w:sz w:val="24"/>
          <w:szCs w:val="24"/>
          <w:u w:val="single"/>
        </w:rPr>
      </w:pPr>
      <w:r w:rsidRPr="00BA0EC4">
        <w:rPr>
          <w:rFonts w:ascii="Times New Roman" w:hAnsi="Times New Roman" w:cs="Times New Roman"/>
          <w:sz w:val="24"/>
          <w:szCs w:val="24"/>
          <w:u w:val="single"/>
        </w:rPr>
        <w:t>Профессиональные квалификационные требования: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Профессионально-функциональные квалификационные требования:</w:t>
      </w:r>
    </w:p>
    <w:p w:rsidR="00BA0EC4" w:rsidRPr="00BA0EC4" w:rsidRDefault="00BA0EC4" w:rsidP="00BA0EC4">
      <w:pPr>
        <w:ind w:firstLine="540"/>
        <w:jc w:val="both"/>
      </w:pPr>
      <w:r w:rsidRPr="00BA0EC4">
        <w:t xml:space="preserve">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 </w:t>
      </w:r>
    </w:p>
    <w:p w:rsidR="00BA0EC4" w:rsidRPr="00BA0EC4" w:rsidRDefault="00BA0EC4" w:rsidP="00BA0EC4">
      <w:pPr>
        <w:ind w:firstLine="540"/>
        <w:jc w:val="both"/>
      </w:pPr>
      <w:r w:rsidRPr="00BA0EC4">
        <w:t>Допустимые специальности, направления подготовки при условии наличия опыта работы по направлению деятельности отдела в налоговых и финансовых органах, госструктурах: «Прикладная информатика в экономике», «Информационные системы в экономике».</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BA0EC4" w:rsidRPr="00BA0EC4" w:rsidRDefault="00BA0EC4" w:rsidP="00BA0EC4">
      <w:pPr>
        <w:pStyle w:val="ConsPlusNormal"/>
        <w:ind w:firstLine="540"/>
        <w:jc w:val="both"/>
        <w:rPr>
          <w:rFonts w:ascii="Times New Roman" w:hAnsi="Times New Roman" w:cs="Times New Roman"/>
          <w:sz w:val="24"/>
          <w:szCs w:val="24"/>
        </w:rPr>
      </w:pPr>
      <w:proofErr w:type="gramStart"/>
      <w:r w:rsidRPr="00BA0EC4">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BA0EC4">
        <w:rPr>
          <w:rFonts w:ascii="Times New Roman" w:hAnsi="Times New Roman" w:cs="Times New Roman"/>
          <w:sz w:val="24"/>
          <w:szCs w:val="24"/>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в) наличие иных профессиональных знаний: </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A0EC4">
        <w:rPr>
          <w:rFonts w:ascii="Times New Roman" w:hAnsi="Times New Roman" w:cs="Times New Roman"/>
          <w:sz w:val="24"/>
          <w:szCs w:val="24"/>
        </w:rPr>
        <w:t>применения</w:t>
      </w:r>
      <w:proofErr w:type="gramEnd"/>
      <w:r w:rsidRPr="00BA0EC4">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BA0EC4">
        <w:rPr>
          <w:rFonts w:ascii="Times New Roman" w:hAnsi="Times New Roman" w:cs="Times New Roman"/>
          <w:sz w:val="24"/>
          <w:szCs w:val="24"/>
        </w:rPr>
        <w:t xml:space="preserve">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w:t>
      </w:r>
      <w:r w:rsidRPr="00BA0EC4">
        <w:rPr>
          <w:rFonts w:ascii="Times New Roman" w:hAnsi="Times New Roman" w:cs="Times New Roman"/>
          <w:sz w:val="24"/>
          <w:szCs w:val="24"/>
        </w:rPr>
        <w:lastRenderedPageBreak/>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BA0EC4">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г) наличие профессиональных умений: </w:t>
      </w:r>
    </w:p>
    <w:p w:rsidR="00BA0EC4" w:rsidRPr="00BA0EC4" w:rsidRDefault="00BA0EC4" w:rsidP="00BA0EC4">
      <w:pPr>
        <w:pStyle w:val="ConsPlusNormal"/>
        <w:ind w:firstLine="540"/>
        <w:jc w:val="both"/>
        <w:rPr>
          <w:rFonts w:ascii="Times New Roman" w:hAnsi="Times New Roman" w:cs="Times New Roman"/>
          <w:sz w:val="24"/>
          <w:szCs w:val="24"/>
        </w:rPr>
      </w:pPr>
      <w:proofErr w:type="gramStart"/>
      <w:r w:rsidRPr="00BA0EC4">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A0EC4">
        <w:rPr>
          <w:rFonts w:ascii="Times New Roman" w:hAnsi="Times New Roman" w:cs="Times New Roman"/>
          <w:sz w:val="24"/>
          <w:szCs w:val="24"/>
        </w:rPr>
        <w:t xml:space="preserve"> </w:t>
      </w:r>
      <w:proofErr w:type="gramStart"/>
      <w:r w:rsidRPr="00BA0EC4">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BA0EC4" w:rsidRPr="00BA0EC4" w:rsidRDefault="00BA0EC4" w:rsidP="00BA0EC4">
      <w:pPr>
        <w:pStyle w:val="ConsPlusNormal"/>
        <w:ind w:firstLine="540"/>
        <w:jc w:val="both"/>
        <w:rPr>
          <w:rFonts w:ascii="Times New Roman" w:hAnsi="Times New Roman" w:cs="Times New Roman"/>
          <w:sz w:val="24"/>
          <w:szCs w:val="24"/>
          <w:u w:val="single"/>
        </w:rPr>
      </w:pPr>
      <w:r w:rsidRPr="00BA0EC4">
        <w:rPr>
          <w:rFonts w:ascii="Times New Roman" w:hAnsi="Times New Roman" w:cs="Times New Roman"/>
          <w:sz w:val="24"/>
          <w:szCs w:val="24"/>
          <w:u w:val="single"/>
        </w:rPr>
        <w:t>Функциональные квалификационные требования: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BA0EC4" w:rsidRPr="00BA0EC4" w:rsidRDefault="00BA0EC4" w:rsidP="00BA0EC4">
      <w:pPr>
        <w:pStyle w:val="ConsPlusNormal"/>
        <w:ind w:firstLine="0"/>
        <w:jc w:val="both"/>
        <w:rPr>
          <w:rFonts w:ascii="Times New Roman" w:hAnsi="Times New Roman" w:cs="Times New Roman"/>
          <w:sz w:val="24"/>
          <w:szCs w:val="24"/>
        </w:rPr>
      </w:pPr>
      <w:r w:rsidRPr="00BA0EC4">
        <w:rPr>
          <w:rFonts w:ascii="Times New Roman" w:hAnsi="Times New Roman" w:cs="Times New Roman"/>
          <w:sz w:val="24"/>
          <w:szCs w:val="24"/>
        </w:rPr>
        <w:t>порядок ведения дел в судах различной инстанции.</w:t>
      </w:r>
      <w:r w:rsidRPr="00BA0EC4">
        <w:rPr>
          <w:rFonts w:ascii="Times New Roman" w:hAnsi="Times New Roman" w:cs="Times New Roman"/>
          <w:sz w:val="24"/>
          <w:szCs w:val="24"/>
        </w:rPr>
        <w:tab/>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б) наличие функциональных умений: </w:t>
      </w:r>
    </w:p>
    <w:p w:rsidR="00BA0EC4" w:rsidRPr="00BA0EC4" w:rsidRDefault="00BA0EC4" w:rsidP="00BA0EC4">
      <w:pPr>
        <w:pStyle w:val="ConsPlusNormal"/>
        <w:ind w:firstLine="0"/>
        <w:jc w:val="both"/>
        <w:rPr>
          <w:rFonts w:ascii="Times New Roman" w:hAnsi="Times New Roman" w:cs="Times New Roman"/>
          <w:sz w:val="24"/>
          <w:szCs w:val="24"/>
        </w:rPr>
      </w:pPr>
      <w:r w:rsidRPr="00BA0EC4">
        <w:rPr>
          <w:rFonts w:ascii="Times New Roman" w:hAnsi="Times New Roman" w:cs="Times New Roman"/>
          <w:sz w:val="24"/>
          <w:szCs w:val="24"/>
        </w:rPr>
        <w:t>ведение исковой и претензионной работы.</w:t>
      </w:r>
    </w:p>
    <w:p w:rsidR="00BA0EC4" w:rsidRPr="00BA0EC4" w:rsidRDefault="00BA0EC4" w:rsidP="00BA0EC4">
      <w:pPr>
        <w:pStyle w:val="ConsPlusNormal"/>
        <w:ind w:firstLine="540"/>
        <w:jc w:val="both"/>
        <w:rPr>
          <w:rFonts w:ascii="Times New Roman" w:hAnsi="Times New Roman" w:cs="Times New Roman"/>
          <w:sz w:val="24"/>
          <w:szCs w:val="24"/>
        </w:rPr>
      </w:pP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202</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3570A7">
        <w:rPr>
          <w:rFonts w:ascii="Times New Roman" w:hAnsi="Times New Roman" w:cs="Times New Roman"/>
          <w:sz w:val="24"/>
          <w:szCs w:val="24"/>
        </w:rPr>
        <w:t>740284</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w:t>
      </w:r>
      <w:r w:rsidRPr="00075953">
        <w:rPr>
          <w:sz w:val="24"/>
          <w:szCs w:val="24"/>
        </w:rPr>
        <w:lastRenderedPageBreak/>
        <w:t>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9"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0"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lastRenderedPageBreak/>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BA0EC4">
        <w:rPr>
          <w:b/>
        </w:rPr>
        <w:t>не позднее 05</w:t>
      </w:r>
      <w:r w:rsidR="00BA235F" w:rsidRPr="00BA235F">
        <w:rPr>
          <w:b/>
        </w:rPr>
        <w:t>.</w:t>
      </w:r>
      <w:r w:rsidR="003570A7">
        <w:rPr>
          <w:b/>
        </w:rPr>
        <w:t>0</w:t>
      </w:r>
      <w:r w:rsidR="00BA0EC4">
        <w:rPr>
          <w:b/>
        </w:rPr>
        <w:t>9</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roofErr w:type="gramEnd"/>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BA0EC4">
        <w:lastRenderedPageBreak/>
        <w:t>6</w:t>
      </w:r>
      <w:r w:rsidRPr="00897321">
        <w:rPr>
          <w:b/>
        </w:rPr>
        <w:t>.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proofErr w:type="gramStart"/>
      <w:r w:rsidRPr="00CD6554">
        <w:rPr>
          <w:rFonts w:ascii="Times New Roman" w:hAnsi="Times New Roman" w:cs="Times New Roman"/>
          <w:b/>
          <w:sz w:val="24"/>
          <w:szCs w:val="24"/>
        </w:rPr>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CD42AF">
      <w:pPr>
        <w:pStyle w:val="a7"/>
        <w:ind w:right="20"/>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CD42AF">
      <w:pPr>
        <w:pStyle w:val="a7"/>
        <w:ind w:right="20"/>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p>
    <w:p w:rsidR="00CD42AF" w:rsidRPr="00CD6554" w:rsidRDefault="00CD42AF" w:rsidP="00CD42AF">
      <w:pPr>
        <w:ind w:firstLine="708"/>
        <w:jc w:val="both"/>
        <w:rPr>
          <w:b/>
        </w:rPr>
      </w:pPr>
      <w:r w:rsidRPr="00CD6554">
        <w:rPr>
          <w:b/>
        </w:rPr>
        <w:t>Индивидуальное собеседование</w:t>
      </w:r>
    </w:p>
    <w:p w:rsidR="00F342FE" w:rsidRDefault="00CD42AF" w:rsidP="00F342FE">
      <w:pPr>
        <w:pStyle w:val="a7"/>
        <w:shd w:val="clear" w:color="auto" w:fill="FFFFFF"/>
        <w:tabs>
          <w:tab w:val="left" w:pos="1352"/>
        </w:tabs>
        <w:spacing w:line="317" w:lineRule="exact"/>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F342FE">
      <w:pPr>
        <w:pStyle w:val="a7"/>
        <w:shd w:val="clear" w:color="auto" w:fill="FFFFFF"/>
        <w:tabs>
          <w:tab w:val="left" w:pos="1352"/>
        </w:tabs>
        <w:spacing w:line="317" w:lineRule="exact"/>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CD42AF" w:rsidRPr="00CD6554" w:rsidRDefault="00CD42AF" w:rsidP="00F342FE">
      <w:pPr>
        <w:pStyle w:val="a7"/>
        <w:shd w:val="clear" w:color="auto" w:fill="FFFFFF"/>
        <w:tabs>
          <w:tab w:val="left" w:pos="1352"/>
        </w:tabs>
        <w:spacing w:line="317" w:lineRule="exact"/>
        <w:jc w:val="both"/>
        <w:rPr>
          <w:sz w:val="24"/>
          <w:szCs w:val="24"/>
        </w:rPr>
      </w:pPr>
    </w:p>
    <w:p w:rsidR="00AF267C" w:rsidRPr="00075953" w:rsidRDefault="00AF267C" w:rsidP="00CD42AF">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BA0EC4" w:rsidRPr="00D423C6" w:rsidRDefault="006426CD" w:rsidP="00F90A0A">
      <w:pPr>
        <w:pStyle w:val="5"/>
        <w:rPr>
          <w:sz w:val="20"/>
          <w:szCs w:val="20"/>
        </w:rPr>
      </w:pPr>
      <w:bookmarkStart w:id="1" w:name="_GoBack"/>
      <w:bookmarkEnd w:id="1"/>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BA0EC4">
        <w:rPr>
          <w:sz w:val="26"/>
          <w:szCs w:val="26"/>
        </w:rPr>
        <w:t xml:space="preserve">                                                       </w:t>
      </w:r>
      <w:r w:rsidR="00D91040">
        <w:rPr>
          <w:sz w:val="26"/>
          <w:szCs w:val="26"/>
        </w:rPr>
        <w:t xml:space="preserve">  </w:t>
      </w:r>
      <w:r w:rsidR="00BA0EC4" w:rsidRPr="00D423C6">
        <w:rPr>
          <w:sz w:val="20"/>
          <w:szCs w:val="20"/>
        </w:rPr>
        <w:t>Приложение № 1</w:t>
      </w:r>
    </w:p>
    <w:p w:rsidR="008D17D0" w:rsidRDefault="00F342FE" w:rsidP="00BA0EC4">
      <w:pPr>
        <w:pStyle w:val="5"/>
        <w:ind w:left="3540" w:firstLine="708"/>
        <w:rPr>
          <w:sz w:val="26"/>
          <w:szCs w:val="26"/>
        </w:rPr>
      </w:pPr>
      <w:r>
        <w:rPr>
          <w:sz w:val="26"/>
          <w:szCs w:val="26"/>
        </w:rPr>
        <w:t>Р</w:t>
      </w:r>
      <w:r w:rsidR="005421C0">
        <w:rPr>
          <w:sz w:val="26"/>
          <w:szCs w:val="26"/>
        </w:rPr>
        <w:t>уководител</w:t>
      </w:r>
      <w:r>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Pr="00D423C6" w:rsidRDefault="002025B9" w:rsidP="00F37805">
      <w:pPr>
        <w:jc w:val="right"/>
        <w:rPr>
          <w:b/>
          <w:bCs/>
          <w:sz w:val="18"/>
          <w:szCs w:val="18"/>
        </w:rPr>
      </w:pPr>
      <w:r w:rsidRPr="00D423C6">
        <w:rPr>
          <w:sz w:val="18"/>
          <w:szCs w:val="18"/>
        </w:rPr>
        <w:t>Приложение 2</w:t>
      </w:r>
    </w:p>
    <w:p w:rsidR="00966B49" w:rsidRPr="00D423C6" w:rsidRDefault="00966B49" w:rsidP="00F37805">
      <w:pPr>
        <w:rPr>
          <w:sz w:val="18"/>
          <w:szCs w:val="18"/>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D423C6" w:rsidRDefault="006426CD" w:rsidP="00D423C6">
      <w:pPr>
        <w:ind w:left="6840"/>
        <w:jc w:val="right"/>
        <w:rPr>
          <w:sz w:val="18"/>
          <w:szCs w:val="18"/>
        </w:rPr>
      </w:pPr>
      <w:r w:rsidRPr="00D423C6">
        <w:rPr>
          <w:sz w:val="18"/>
          <w:szCs w:val="18"/>
        </w:rPr>
        <w:lastRenderedPageBreak/>
        <w:t>Приложение № 3</w:t>
      </w:r>
    </w:p>
    <w:p w:rsidR="00D423C6" w:rsidRDefault="00D423C6" w:rsidP="00D423C6">
      <w:pPr>
        <w:ind w:left="6840"/>
        <w:jc w:val="right"/>
        <w:rPr>
          <w:sz w:val="18"/>
          <w:szCs w:val="18"/>
        </w:rPr>
      </w:pPr>
    </w:p>
    <w:p w:rsidR="006426CD" w:rsidRPr="001843F2" w:rsidRDefault="006426CD" w:rsidP="00D423C6">
      <w:pPr>
        <w:ind w:left="6521"/>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4</w:t>
      </w: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2"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3"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D423C6" w:rsidRDefault="00D423C6" w:rsidP="00D423C6">
      <w:pPr>
        <w:ind w:left="6840"/>
        <w:jc w:val="right"/>
        <w:rPr>
          <w:sz w:val="18"/>
          <w:szCs w:val="1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5</w:t>
      </w: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6</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 xml:space="preserve">Должностной регламент </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 xml:space="preserve">государственного налогового инспектора </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 xml:space="preserve">отдела обеспечения процедур банкротства </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Управления Федеральной налоговой  службы</w:t>
      </w:r>
      <w:r w:rsidRPr="00D423C6">
        <w:rPr>
          <w:rFonts w:ascii="Times New Roman" w:hAnsi="Times New Roman" w:cs="Times New Roman"/>
          <w:b/>
          <w:color w:val="FF0000"/>
        </w:rPr>
        <w:t xml:space="preserve"> </w:t>
      </w:r>
      <w:r w:rsidRPr="00D423C6">
        <w:rPr>
          <w:rFonts w:ascii="Times New Roman" w:hAnsi="Times New Roman" w:cs="Times New Roman"/>
          <w:b/>
        </w:rPr>
        <w:t>по Сахалинской области</w:t>
      </w:r>
    </w:p>
    <w:p w:rsidR="00D423C6" w:rsidRPr="00D423C6" w:rsidRDefault="00D423C6" w:rsidP="00D423C6">
      <w:pPr>
        <w:pStyle w:val="ConsPlusNormal"/>
        <w:ind w:left="-567"/>
        <w:jc w:val="center"/>
        <w:rPr>
          <w:rFonts w:ascii="Times New Roman" w:hAnsi="Times New Roman" w:cs="Times New Roman"/>
          <w:b/>
        </w:rPr>
      </w:pPr>
    </w:p>
    <w:p w:rsidR="00D423C6" w:rsidRPr="00D423C6" w:rsidRDefault="00D423C6" w:rsidP="00D423C6">
      <w:pPr>
        <w:pStyle w:val="ConsPlusNormal"/>
        <w:ind w:left="-567"/>
        <w:jc w:val="center"/>
        <w:rPr>
          <w:rFonts w:ascii="Times New Roman" w:hAnsi="Times New Roman" w:cs="Times New Roman"/>
          <w:i/>
        </w:rPr>
      </w:pPr>
      <w:r w:rsidRPr="00D423C6">
        <w:rPr>
          <w:rFonts w:ascii="Times New Roman" w:hAnsi="Times New Roman" w:cs="Times New Roman"/>
          <w:i/>
        </w:rPr>
        <w:t xml:space="preserve">Регистрационный номер (код) должности по </w:t>
      </w:r>
      <w:hyperlink r:id="rId14" w:history="1">
        <w:r w:rsidRPr="00D423C6">
          <w:rPr>
            <w:rFonts w:ascii="Times New Roman" w:hAnsi="Times New Roman" w:cs="Times New Roman"/>
            <w:i/>
            <w:color w:val="0000FF"/>
          </w:rPr>
          <w:t>Реестру</w:t>
        </w:r>
      </w:hyperlink>
      <w:r w:rsidRPr="00D423C6">
        <w:rPr>
          <w:rFonts w:ascii="Times New Roman" w:hAnsi="Times New Roman" w:cs="Times New Roman"/>
          <w:i/>
          <w:color w:val="0000FF"/>
        </w:rPr>
        <w:t xml:space="preserve"> </w:t>
      </w:r>
      <w:r w:rsidRPr="00D423C6">
        <w:rPr>
          <w:rFonts w:ascii="Times New Roman" w:hAnsi="Times New Roman" w:cs="Times New Roman"/>
          <w:i/>
        </w:rPr>
        <w:t>должностей федеральной государственной гражданской службы, утвержденному Указом Президента Российской Федерации от 31.12.2005</w:t>
      </w:r>
    </w:p>
    <w:p w:rsidR="00D423C6" w:rsidRPr="00D423C6" w:rsidRDefault="00D423C6" w:rsidP="00D423C6">
      <w:pPr>
        <w:pStyle w:val="ConsPlusNormal"/>
        <w:ind w:left="-567"/>
        <w:jc w:val="center"/>
        <w:rPr>
          <w:rFonts w:ascii="Times New Roman" w:hAnsi="Times New Roman" w:cs="Times New Roman"/>
          <w:i/>
        </w:rPr>
      </w:pPr>
      <w:r w:rsidRPr="00D423C6">
        <w:rPr>
          <w:rFonts w:ascii="Times New Roman" w:hAnsi="Times New Roman" w:cs="Times New Roman"/>
          <w:i/>
        </w:rPr>
        <w:t>№ 1574 "О Реестре должностей федеральной государственной гражданской службы", - 11-3-4-071</w:t>
      </w:r>
    </w:p>
    <w:p w:rsidR="00D423C6" w:rsidRPr="00D423C6" w:rsidRDefault="00D423C6" w:rsidP="00D423C6">
      <w:pPr>
        <w:pStyle w:val="ConsPlusNormal"/>
        <w:ind w:left="-567"/>
        <w:jc w:val="both"/>
        <w:rPr>
          <w:rFonts w:ascii="Times New Roman" w:hAnsi="Times New Roman" w:cs="Times New Roman"/>
        </w:rPr>
      </w:pPr>
    </w:p>
    <w:p w:rsidR="00D423C6" w:rsidRPr="00D423C6" w:rsidRDefault="00D423C6" w:rsidP="00D423C6">
      <w:pPr>
        <w:pStyle w:val="ConsPlusNormal"/>
        <w:ind w:left="-567"/>
        <w:jc w:val="center"/>
        <w:outlineLvl w:val="2"/>
        <w:rPr>
          <w:rFonts w:ascii="Times New Roman" w:hAnsi="Times New Roman" w:cs="Times New Roman"/>
          <w:b/>
        </w:rPr>
      </w:pPr>
      <w:r w:rsidRPr="00D423C6">
        <w:rPr>
          <w:rFonts w:ascii="Times New Roman" w:hAnsi="Times New Roman" w:cs="Times New Roman"/>
          <w:b/>
        </w:rPr>
        <w:t>I. Общие положения</w:t>
      </w:r>
    </w:p>
    <w:p w:rsidR="00D423C6" w:rsidRPr="00D423C6" w:rsidRDefault="00D423C6" w:rsidP="00D423C6">
      <w:pPr>
        <w:pStyle w:val="ConsPlusNormal"/>
        <w:ind w:left="-567"/>
        <w:jc w:val="both"/>
        <w:rPr>
          <w:rFonts w:ascii="Times New Roman" w:hAnsi="Times New Roman" w:cs="Times New Roman"/>
        </w:rPr>
      </w:pP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1. Должность федеральной государственной гражданской службы (далее - гражданская служба) государственного налогового инспектора отдела обеспечения процедур банкротства</w:t>
      </w:r>
      <w:r w:rsidRPr="00D423C6">
        <w:rPr>
          <w:rFonts w:ascii="Times New Roman" w:hAnsi="Times New Roman" w:cs="Times New Roman"/>
          <w:color w:val="FF0000"/>
        </w:rPr>
        <w:t xml:space="preserve"> </w:t>
      </w:r>
      <w:r w:rsidRPr="00D423C6">
        <w:rPr>
          <w:rFonts w:ascii="Times New Roman" w:hAnsi="Times New Roman" w:cs="Times New Roman"/>
        </w:rPr>
        <w:t>УФНС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2. Область профессиональной служебной деятельности государственного гражданского служащего: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п.22. Регулирование финансовой деятельности и финансовых рынков</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 Вид профессиональной служебной деятельности гражданского служащего: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п.22.18. Регулирование в сфере урегулирования задолженности.</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УФНС России по Сахалинской области  (далее - управление).</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Государственный налоговый инспектор непосредственно подчиняется начальнику отдела.</w:t>
      </w:r>
    </w:p>
    <w:p w:rsidR="00D423C6" w:rsidRPr="00D423C6" w:rsidRDefault="00D423C6" w:rsidP="00D423C6">
      <w:pPr>
        <w:pStyle w:val="ConsPlusNormal"/>
        <w:jc w:val="center"/>
        <w:outlineLvl w:val="2"/>
        <w:rPr>
          <w:rFonts w:ascii="Times New Roman" w:hAnsi="Times New Roman" w:cs="Times New Roman"/>
          <w:b/>
        </w:rPr>
      </w:pPr>
    </w:p>
    <w:p w:rsidR="00D423C6" w:rsidRPr="00D423C6" w:rsidRDefault="00D423C6" w:rsidP="00D423C6">
      <w:pPr>
        <w:pStyle w:val="ConsPlusNormal"/>
        <w:jc w:val="center"/>
        <w:outlineLvl w:val="2"/>
        <w:rPr>
          <w:rFonts w:ascii="Times New Roman" w:hAnsi="Times New Roman" w:cs="Times New Roman"/>
          <w:b/>
        </w:rPr>
      </w:pPr>
      <w:r w:rsidRPr="00D423C6">
        <w:rPr>
          <w:rFonts w:ascii="Times New Roman" w:hAnsi="Times New Roman" w:cs="Times New Roman"/>
          <w:b/>
        </w:rPr>
        <w:t xml:space="preserve">II. Квалификационные требования </w:t>
      </w:r>
    </w:p>
    <w:p w:rsidR="00D423C6" w:rsidRPr="00D423C6" w:rsidRDefault="00D423C6" w:rsidP="00D423C6">
      <w:pPr>
        <w:pStyle w:val="ConsPlusNormal"/>
        <w:jc w:val="center"/>
        <w:outlineLvl w:val="2"/>
        <w:rPr>
          <w:rFonts w:ascii="Times New Roman" w:hAnsi="Times New Roman" w:cs="Times New Roman"/>
          <w:b/>
        </w:rPr>
      </w:pPr>
      <w:r w:rsidRPr="00D423C6">
        <w:rPr>
          <w:rFonts w:ascii="Times New Roman" w:hAnsi="Times New Roman" w:cs="Times New Roman"/>
          <w:b/>
        </w:rPr>
        <w:t>для замещения должности гражданской службы</w:t>
      </w:r>
    </w:p>
    <w:p w:rsidR="00D423C6" w:rsidRPr="00D423C6" w:rsidRDefault="00D423C6" w:rsidP="00D423C6">
      <w:pPr>
        <w:pStyle w:val="ConsPlusNormal"/>
        <w:ind w:firstLine="540"/>
        <w:jc w:val="both"/>
        <w:rPr>
          <w:rFonts w:ascii="Times New Roman" w:hAnsi="Times New Roman" w:cs="Times New Roman"/>
        </w:rPr>
      </w:pP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3. Для замещения должности </w:t>
      </w:r>
      <w:r w:rsidRPr="00D423C6">
        <w:rPr>
          <w:rFonts w:ascii="Times New Roman" w:hAnsi="Times New Roman" w:cs="Times New Roman"/>
          <w:u w:val="single"/>
        </w:rPr>
        <w:t>государственный налоговый инспектор</w:t>
      </w:r>
      <w:r w:rsidRPr="00D423C6">
        <w:rPr>
          <w:rFonts w:ascii="Times New Roman" w:hAnsi="Times New Roman" w:cs="Times New Roman"/>
        </w:rPr>
        <w:t xml:space="preserve"> устанавливаются базовые и профессионально-функциональные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3.1. Базовые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а) наличие высшего образования не ниже уровня </w:t>
      </w:r>
      <w:proofErr w:type="spellStart"/>
      <w:r w:rsidRPr="00D423C6">
        <w:rPr>
          <w:rFonts w:ascii="Times New Roman" w:hAnsi="Times New Roman" w:cs="Times New Roman"/>
        </w:rPr>
        <w:t>бакалавриата</w:t>
      </w:r>
      <w:proofErr w:type="spellEnd"/>
      <w:r w:rsidRPr="00D423C6">
        <w:rPr>
          <w:rFonts w:ascii="Times New Roman" w:hAnsi="Times New Roman" w:cs="Times New Roman"/>
        </w:rPr>
        <w:t>;</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б) без предъявления требования к стажу;</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в) наличие базовых знаний:</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государственного языка Российской Федерации (русского языка);</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г) наличие знаний и умений в области информационно-коммуникационных технологий в государственных органах.</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b/>
          <w:i/>
          <w:color w:val="4F81BD"/>
        </w:rPr>
        <w:t xml:space="preserve">   </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3.2. Профессиональные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 xml:space="preserve"> Профессионально-функциональные квалификационные требования:</w:t>
      </w:r>
    </w:p>
    <w:p w:rsidR="00D423C6" w:rsidRPr="00D423C6" w:rsidRDefault="00D423C6" w:rsidP="00D423C6">
      <w:pPr>
        <w:jc w:val="both"/>
        <w:rPr>
          <w:sz w:val="20"/>
          <w:szCs w:val="20"/>
        </w:rPr>
      </w:pPr>
      <w:r w:rsidRPr="00D423C6">
        <w:rPr>
          <w:sz w:val="20"/>
          <w:szCs w:val="20"/>
        </w:rPr>
        <w:t xml:space="preserve">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 </w:t>
      </w:r>
    </w:p>
    <w:p w:rsidR="00D423C6" w:rsidRPr="00D423C6" w:rsidRDefault="00D423C6" w:rsidP="00D423C6">
      <w:pPr>
        <w:ind w:firstLine="540"/>
        <w:jc w:val="both"/>
        <w:rPr>
          <w:b/>
          <w:sz w:val="20"/>
          <w:szCs w:val="20"/>
        </w:rPr>
      </w:pPr>
      <w:r w:rsidRPr="00D423C6">
        <w:rPr>
          <w:sz w:val="20"/>
          <w:szCs w:val="20"/>
        </w:rPr>
        <w:t>Допустимые специальности, направления подготовки при условии наличия опыта работы по направлению деятельности отдела в налоговых и финансовых органах, госструктурах: «Прикладная информатика в экономике», «Информационные системы в экономике».</w:t>
      </w:r>
    </w:p>
    <w:p w:rsidR="00D423C6" w:rsidRPr="00D423C6" w:rsidRDefault="00D423C6" w:rsidP="00D423C6">
      <w:pPr>
        <w:pStyle w:val="ConsPlusNormal"/>
        <w:ind w:firstLine="540"/>
        <w:jc w:val="both"/>
        <w:rPr>
          <w:rFonts w:ascii="Times New Roman" w:hAnsi="Times New Roman" w:cs="Times New Roman"/>
          <w:color w:val="FF0000"/>
        </w:rPr>
      </w:pPr>
      <w:r w:rsidRPr="00D423C6">
        <w:rPr>
          <w:rFonts w:ascii="Times New Roman" w:hAnsi="Times New Roman" w:cs="Times New Roman"/>
          <w:b/>
        </w:rPr>
        <w:t xml:space="preserve">б) наличие профессиональных знаний в сфере законодательства Российской Федерации: </w:t>
      </w:r>
    </w:p>
    <w:p w:rsidR="00D423C6" w:rsidRPr="00D423C6" w:rsidRDefault="00D423C6" w:rsidP="00D423C6">
      <w:pPr>
        <w:pStyle w:val="ConsPlusNormal"/>
        <w:ind w:firstLine="540"/>
        <w:jc w:val="both"/>
        <w:rPr>
          <w:rFonts w:ascii="Times New Roman" w:hAnsi="Times New Roman" w:cs="Times New Roman"/>
        </w:rPr>
      </w:pPr>
      <w:proofErr w:type="gramStart"/>
      <w:r w:rsidRPr="00D423C6">
        <w:rPr>
          <w:rFonts w:ascii="Times New Roman" w:hAnsi="Times New Roman" w:cs="Times New Roman"/>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D423C6">
        <w:rPr>
          <w:rFonts w:ascii="Times New Roman" w:hAnsi="Times New Roman" w:cs="Times New Roman"/>
        </w:rPr>
        <w:t xml:space="preserve">»;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w:t>
      </w:r>
      <w:r w:rsidRPr="00D423C6">
        <w:rPr>
          <w:rFonts w:ascii="Times New Roman" w:hAnsi="Times New Roman" w:cs="Times New Roman"/>
        </w:rPr>
        <w:lastRenderedPageBreak/>
        <w:t>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 xml:space="preserve">в) наличие иных профессиональных знаний: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423C6">
        <w:rPr>
          <w:rFonts w:ascii="Times New Roman" w:hAnsi="Times New Roman" w:cs="Times New Roman"/>
        </w:rPr>
        <w:t>применения</w:t>
      </w:r>
      <w:proofErr w:type="gramEnd"/>
      <w:r w:rsidRPr="00D423C6">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D423C6">
        <w:rPr>
          <w:rFonts w:ascii="Times New Roman" w:hAnsi="Times New Roman" w:cs="Times New Roman"/>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D423C6">
        <w:rPr>
          <w:rFonts w:ascii="Times New Roman" w:hAnsi="Times New Roman" w:cs="Times New Roman"/>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 xml:space="preserve">г) наличие профессиональных умений: </w:t>
      </w:r>
    </w:p>
    <w:p w:rsidR="00D423C6" w:rsidRPr="00D423C6" w:rsidRDefault="00D423C6" w:rsidP="00D423C6">
      <w:pPr>
        <w:pStyle w:val="ConsPlusNormal"/>
        <w:ind w:firstLine="540"/>
        <w:jc w:val="both"/>
        <w:rPr>
          <w:rFonts w:ascii="Times New Roman" w:hAnsi="Times New Roman" w:cs="Times New Roman"/>
        </w:rPr>
      </w:pPr>
      <w:proofErr w:type="gramStart"/>
      <w:r w:rsidRPr="00D423C6">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423C6">
        <w:rPr>
          <w:rFonts w:ascii="Times New Roman" w:hAnsi="Times New Roman" w:cs="Times New Roman"/>
        </w:rPr>
        <w:t xml:space="preserve"> </w:t>
      </w:r>
      <w:proofErr w:type="gramStart"/>
      <w:r w:rsidRPr="00D423C6">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3.3. Функциональные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а) наличие функциональных знаний в сфере законодательства Российской Федерации: </w:t>
      </w:r>
    </w:p>
    <w:p w:rsidR="00D423C6" w:rsidRPr="00D423C6" w:rsidRDefault="00D423C6" w:rsidP="00D423C6">
      <w:pPr>
        <w:pStyle w:val="ConsPlusNormal"/>
        <w:ind w:firstLine="0"/>
        <w:jc w:val="both"/>
        <w:rPr>
          <w:rFonts w:ascii="Times New Roman" w:hAnsi="Times New Roman" w:cs="Times New Roman"/>
        </w:rPr>
      </w:pPr>
      <w:r w:rsidRPr="00D423C6">
        <w:rPr>
          <w:rFonts w:ascii="Times New Roman" w:hAnsi="Times New Roman" w:cs="Times New Roman"/>
        </w:rPr>
        <w:t>порядок ведения дел в судах различной инстанции.</w:t>
      </w:r>
      <w:r w:rsidRPr="00D423C6">
        <w:rPr>
          <w:rFonts w:ascii="Times New Roman" w:hAnsi="Times New Roman" w:cs="Times New Roman"/>
        </w:rPr>
        <w:tab/>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б) наличие функциональных умений: </w:t>
      </w:r>
    </w:p>
    <w:p w:rsidR="00D423C6" w:rsidRPr="00D423C6" w:rsidRDefault="00D423C6" w:rsidP="00D423C6">
      <w:pPr>
        <w:pStyle w:val="ConsPlusNormal"/>
        <w:ind w:firstLine="0"/>
        <w:jc w:val="both"/>
        <w:rPr>
          <w:rFonts w:ascii="Times New Roman" w:hAnsi="Times New Roman" w:cs="Times New Roman"/>
        </w:rPr>
      </w:pPr>
      <w:r w:rsidRPr="00D423C6">
        <w:rPr>
          <w:rFonts w:ascii="Times New Roman" w:hAnsi="Times New Roman" w:cs="Times New Roman"/>
        </w:rPr>
        <w:t>ведение исковой и претензионной работы.</w:t>
      </w:r>
    </w:p>
    <w:p w:rsidR="00D423C6" w:rsidRPr="00D423C6" w:rsidRDefault="00D423C6" w:rsidP="00D423C6">
      <w:pPr>
        <w:pStyle w:val="ConsPlusNormal"/>
        <w:ind w:firstLine="540"/>
        <w:jc w:val="both"/>
        <w:rPr>
          <w:rFonts w:ascii="Times New Roman" w:hAnsi="Times New Roman" w:cs="Times New Roman"/>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III. Должностные обязанности, права и ответственность.</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D423C6">
          <w:rPr>
            <w:sz w:val="20"/>
            <w:szCs w:val="20"/>
          </w:rPr>
          <w:t>статьями 14</w:t>
        </w:r>
      </w:hyperlink>
      <w:r w:rsidRPr="00D423C6">
        <w:rPr>
          <w:sz w:val="20"/>
          <w:szCs w:val="20"/>
        </w:rPr>
        <w:t xml:space="preserve">, </w:t>
      </w:r>
      <w:hyperlink r:id="rId16" w:history="1">
        <w:r w:rsidRPr="00D423C6">
          <w:rPr>
            <w:sz w:val="20"/>
            <w:szCs w:val="20"/>
          </w:rPr>
          <w:t>15</w:t>
        </w:r>
      </w:hyperlink>
      <w:r w:rsidRPr="00D423C6">
        <w:rPr>
          <w:sz w:val="20"/>
          <w:szCs w:val="20"/>
        </w:rPr>
        <w:t xml:space="preserve">, </w:t>
      </w:r>
      <w:hyperlink r:id="rId17" w:history="1">
        <w:r w:rsidRPr="00D423C6">
          <w:rPr>
            <w:sz w:val="20"/>
            <w:szCs w:val="20"/>
          </w:rPr>
          <w:t>17</w:t>
        </w:r>
      </w:hyperlink>
      <w:r w:rsidRPr="00D423C6">
        <w:rPr>
          <w:sz w:val="20"/>
          <w:szCs w:val="20"/>
        </w:rPr>
        <w:t xml:space="preserve">, </w:t>
      </w:r>
      <w:hyperlink r:id="rId18" w:history="1">
        <w:r w:rsidRPr="00D423C6">
          <w:rPr>
            <w:sz w:val="20"/>
            <w:szCs w:val="20"/>
          </w:rPr>
          <w:t>18</w:t>
        </w:r>
      </w:hyperlink>
      <w:r w:rsidRPr="00D423C6">
        <w:rPr>
          <w:sz w:val="20"/>
          <w:szCs w:val="20"/>
        </w:rPr>
        <w:t xml:space="preserve"> Федерального закона от 27 июля </w:t>
      </w:r>
      <w:smartTag w:uri="urn:schemas-microsoft-com:office:smarttags" w:element="metricconverter">
        <w:smartTagPr>
          <w:attr w:name="ProductID" w:val="2004 г"/>
        </w:smartTagPr>
        <w:r w:rsidRPr="00D423C6">
          <w:rPr>
            <w:sz w:val="20"/>
            <w:szCs w:val="20"/>
          </w:rPr>
          <w:t>2004 г</w:t>
        </w:r>
      </w:smartTag>
      <w:r w:rsidRPr="00D423C6">
        <w:rPr>
          <w:sz w:val="20"/>
          <w:szCs w:val="20"/>
        </w:rPr>
        <w:t>. № 79-ФЗ «О государственной гражданской службе Российской Федерации».</w:t>
      </w:r>
    </w:p>
    <w:p w:rsidR="00D423C6" w:rsidRPr="00D423C6" w:rsidRDefault="00D423C6" w:rsidP="00D423C6">
      <w:pPr>
        <w:autoSpaceDE w:val="0"/>
        <w:autoSpaceDN w:val="0"/>
        <w:adjustRightInd w:val="0"/>
        <w:ind w:firstLine="540"/>
        <w:jc w:val="both"/>
        <w:rPr>
          <w:sz w:val="20"/>
          <w:szCs w:val="20"/>
        </w:rPr>
      </w:pPr>
      <w:r w:rsidRPr="00D423C6">
        <w:rPr>
          <w:sz w:val="20"/>
          <w:szCs w:val="20"/>
        </w:rPr>
        <w:t xml:space="preserve">5. </w:t>
      </w:r>
      <w:proofErr w:type="gramStart"/>
      <w:r w:rsidRPr="00D423C6">
        <w:rPr>
          <w:sz w:val="20"/>
          <w:szCs w:val="20"/>
        </w:rPr>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9" w:history="1">
        <w:r w:rsidRPr="00D423C6">
          <w:rPr>
            <w:sz w:val="20"/>
            <w:szCs w:val="20"/>
          </w:rPr>
          <w:t>Положением</w:t>
        </w:r>
      </w:hyperlink>
      <w:r w:rsidRPr="00D423C6">
        <w:rPr>
          <w:sz w:val="20"/>
          <w:szCs w:val="20"/>
        </w:rPr>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D423C6">
          <w:rPr>
            <w:sz w:val="20"/>
            <w:szCs w:val="20"/>
          </w:rPr>
          <w:t>2004 г</w:t>
        </w:r>
      </w:smartTag>
      <w:r w:rsidRPr="00D423C6">
        <w:rPr>
          <w:sz w:val="20"/>
          <w:szCs w:val="20"/>
        </w:rPr>
        <w:t xml:space="preserve">. № 506, положением об Управлении ФНС России по Сахалинской области, утвержденным руководителем ФНС России «28» мая </w:t>
      </w:r>
      <w:smartTag w:uri="urn:schemas-microsoft-com:office:smarttags" w:element="metricconverter">
        <w:smartTagPr>
          <w:attr w:name="ProductID" w:val="2012 г"/>
        </w:smartTagPr>
        <w:r w:rsidRPr="00D423C6">
          <w:rPr>
            <w:sz w:val="20"/>
            <w:szCs w:val="20"/>
          </w:rPr>
          <w:t>2012 г</w:t>
        </w:r>
      </w:smartTag>
      <w:r w:rsidRPr="00D423C6">
        <w:rPr>
          <w:sz w:val="20"/>
          <w:szCs w:val="20"/>
        </w:rPr>
        <w:t>.,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roofErr w:type="gramEnd"/>
    </w:p>
    <w:p w:rsidR="00D423C6" w:rsidRPr="00D423C6" w:rsidRDefault="00D423C6" w:rsidP="00D423C6">
      <w:pPr>
        <w:ind w:firstLine="540"/>
        <w:jc w:val="both"/>
        <w:rPr>
          <w:sz w:val="20"/>
          <w:szCs w:val="20"/>
        </w:rPr>
      </w:pPr>
      <w:r w:rsidRPr="00D423C6">
        <w:rPr>
          <w:sz w:val="20"/>
          <w:szCs w:val="20"/>
        </w:rPr>
        <w:t>5.1</w:t>
      </w:r>
      <w:proofErr w:type="gramStart"/>
      <w:r w:rsidRPr="00D423C6">
        <w:rPr>
          <w:sz w:val="20"/>
          <w:szCs w:val="20"/>
        </w:rPr>
        <w:t xml:space="preserve"> И</w:t>
      </w:r>
      <w:proofErr w:type="gramEnd"/>
      <w:r w:rsidRPr="00D423C6">
        <w:rPr>
          <w:sz w:val="20"/>
          <w:szCs w:val="20"/>
        </w:rPr>
        <w:t xml:space="preserve">сходя из полномочий, определённых положением об Управлении, положением об отделе Управления и другими законодательными, нормативными документами, на государственного налогового инспектора отдела урегулирования задолженности и обеспечения процедур банкротства Управления возлагается следующее: </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lastRenderedPageBreak/>
        <w:t>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Выполнять обязанности и ограничения, предусмотренные статьями 9, 12, 12.3, 12.5 Федерального закона от 25.12.2008 № 273-ФЗ «О противодействии коррупции».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 оказывать  методическую и практическую помощь по вопросам своей компетенции.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Проводить анализ эффективности работы по представлению интересов уполномоченного органа в делах о банкротстве и в процедурах банкротства. </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Принимать участие в аудиторских проверках внутреннего аудита по вопросам, относящимся к компетенции Отдела, оформление и принятие решений по их результатам. </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Осуществлять мониторинг налогоплательщиков, имеющих признаки банкротства.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Подготавливать обзоры по осуществлению функций уполномоченного органа в делах о банкротстве.</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Осуществлять мониторинг состояния, структуры, динамики и причин образования недоимки по налогам и сборам налогоплательщиков, находящихся в процедурах банкротства и вносить предложения по сокращению и ликвидации налоговой задолженности.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Формировать установленную статистическую отчетность и аналитические материалы по предмету деятельности Отдела и своевременно представлять отчетность в ФНС России (Межрегиональную инспекцию ФНС России по Дальневосточному федеральному округу)</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Участвовать в работе по взаимодействию со Службой судебных приставов, с правоохранительными и контролирующими органами по усилению контроля по обеспечению применения мер, направленных на пресечение налоговых правонарушений и нарушений при реализации процедур банкротства.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Проводить анализ финансово-хозяйственной деятельности организаций и  индивидуальных предпринимателей,  платежеспособности граждан.</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Подготавливать документы для предъявления в деле о банкротстве и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Участвовать в судебных заседаниях, собраниях кредиторов при представлении интересов Российской Федерации на основании доверенности в делах и процедурах банкротства.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Осуществлять </w:t>
      </w:r>
      <w:proofErr w:type="gramStart"/>
      <w:r w:rsidRPr="00D423C6">
        <w:rPr>
          <w:sz w:val="20"/>
          <w:szCs w:val="20"/>
        </w:rPr>
        <w:t>контроль за</w:t>
      </w:r>
      <w:proofErr w:type="gramEnd"/>
      <w:r w:rsidRPr="00D423C6">
        <w:rPr>
          <w:sz w:val="20"/>
          <w:szCs w:val="20"/>
        </w:rPr>
        <w:t xml:space="preserve"> деятельностью арбитражных управляющих.</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w:t>
      </w:r>
      <w:proofErr w:type="gramStart"/>
      <w:r w:rsidRPr="00D423C6">
        <w:rPr>
          <w:sz w:val="20"/>
          <w:szCs w:val="20"/>
        </w:rPr>
        <w:t>методическую</w:t>
      </w:r>
      <w:proofErr w:type="gramEnd"/>
      <w:r w:rsidRPr="00D423C6">
        <w:rPr>
          <w:sz w:val="20"/>
          <w:szCs w:val="20"/>
        </w:rPr>
        <w:t xml:space="preserve"> и практическую по вопросам своей компетенции.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Рассматривать письма, заявления и жалобы предприятий и организаций по вопросам применения законодательства о банкротстве по предмету деятельности отдела, представлять руководству отдела предложения по жалобам на действия работников отдела.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Обеспечивать ведение информационных ресурсов по предмету деятельности Отдела.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Принимать участие в подготовке коллегий и совещаний, проводимых руководством Управления, вносить предложения по вопросам, относящимся к компетенции отдела.</w:t>
      </w:r>
    </w:p>
    <w:p w:rsidR="00D423C6" w:rsidRPr="00D423C6" w:rsidRDefault="00D423C6" w:rsidP="00D423C6">
      <w:pPr>
        <w:numPr>
          <w:ilvl w:val="2"/>
          <w:numId w:val="27"/>
        </w:numPr>
        <w:tabs>
          <w:tab w:val="clear" w:pos="720"/>
          <w:tab w:val="num" w:pos="0"/>
        </w:tabs>
        <w:ind w:left="0" w:firstLine="539"/>
        <w:jc w:val="both"/>
        <w:rPr>
          <w:sz w:val="20"/>
          <w:szCs w:val="20"/>
        </w:rPr>
      </w:pPr>
      <w:proofErr w:type="gramStart"/>
      <w:r w:rsidRPr="00D423C6">
        <w:rPr>
          <w:sz w:val="20"/>
          <w:szCs w:val="20"/>
        </w:rPr>
        <w:t>Осуществлять иные обязанности</w:t>
      </w:r>
      <w:proofErr w:type="gramEnd"/>
      <w:r w:rsidRPr="00D423C6">
        <w:rPr>
          <w:sz w:val="20"/>
          <w:szCs w:val="20"/>
        </w:rPr>
        <w:t>,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В порядке взаимозаменяемости при отсутствии старшего государственного налогового инспектора отдела выполняет  иные функции, вытекающие из должностных регламентов государственного налогового инспектора, задач и функций, возложенных на Отдел, Положения об Отделе, и конкретные поручения руководителя Управления.</w:t>
      </w:r>
    </w:p>
    <w:p w:rsidR="00D423C6" w:rsidRPr="00D423C6" w:rsidRDefault="00D423C6" w:rsidP="00D423C6">
      <w:pPr>
        <w:ind w:firstLine="540"/>
        <w:jc w:val="both"/>
        <w:rPr>
          <w:sz w:val="20"/>
          <w:szCs w:val="20"/>
        </w:rPr>
      </w:pPr>
      <w:r w:rsidRPr="00D423C6">
        <w:rPr>
          <w:sz w:val="20"/>
          <w:szCs w:val="20"/>
        </w:rPr>
        <w:t>5.2</w:t>
      </w:r>
      <w:proofErr w:type="gramStart"/>
      <w:r w:rsidRPr="00D423C6">
        <w:rPr>
          <w:sz w:val="20"/>
          <w:szCs w:val="20"/>
        </w:rPr>
        <w:t xml:space="preserve"> И</w:t>
      </w:r>
      <w:proofErr w:type="gramEnd"/>
      <w:r w:rsidRPr="00D423C6">
        <w:rPr>
          <w:sz w:val="20"/>
          <w:szCs w:val="20"/>
        </w:rPr>
        <w:t>сходя из установленных полномочий и в пределах функциональной компетенции, имеет право:</w:t>
      </w:r>
    </w:p>
    <w:p w:rsidR="00D423C6" w:rsidRPr="00D423C6" w:rsidRDefault="00D423C6" w:rsidP="00D423C6">
      <w:pPr>
        <w:ind w:firstLine="540"/>
        <w:jc w:val="both"/>
        <w:rPr>
          <w:sz w:val="20"/>
          <w:szCs w:val="20"/>
        </w:rPr>
      </w:pPr>
      <w:r w:rsidRPr="00D423C6">
        <w:rPr>
          <w:sz w:val="20"/>
          <w:szCs w:val="20"/>
        </w:rPr>
        <w:t>5.2.1</w:t>
      </w:r>
      <w:proofErr w:type="gramStart"/>
      <w:r w:rsidRPr="00D423C6">
        <w:rPr>
          <w:sz w:val="20"/>
          <w:szCs w:val="20"/>
        </w:rPr>
        <w:t xml:space="preserve"> В</w:t>
      </w:r>
      <w:proofErr w:type="gramEnd"/>
      <w:r w:rsidRPr="00D423C6">
        <w:rPr>
          <w:sz w:val="20"/>
          <w:szCs w:val="20"/>
        </w:rPr>
        <w:t>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D423C6" w:rsidRPr="00D423C6" w:rsidRDefault="00D423C6" w:rsidP="00D423C6">
      <w:pPr>
        <w:autoSpaceDE w:val="0"/>
        <w:autoSpaceDN w:val="0"/>
        <w:adjustRightInd w:val="0"/>
        <w:ind w:firstLine="540"/>
        <w:jc w:val="both"/>
        <w:rPr>
          <w:sz w:val="20"/>
          <w:szCs w:val="20"/>
        </w:rPr>
      </w:pPr>
      <w:r w:rsidRPr="00D423C6">
        <w:rPr>
          <w:sz w:val="20"/>
          <w:szCs w:val="20"/>
        </w:rPr>
        <w:t>5.2.2</w:t>
      </w:r>
      <w:proofErr w:type="gramStart"/>
      <w:r w:rsidRPr="00D423C6">
        <w:rPr>
          <w:sz w:val="20"/>
          <w:szCs w:val="20"/>
        </w:rPr>
        <w:t xml:space="preserve"> В</w:t>
      </w:r>
      <w:proofErr w:type="gramEnd"/>
      <w:r w:rsidRPr="00D423C6">
        <w:rPr>
          <w:sz w:val="20"/>
          <w:szCs w:val="20"/>
        </w:rPr>
        <w:t xml:space="preserve">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D423C6" w:rsidRPr="00D423C6" w:rsidRDefault="00D423C6" w:rsidP="00D423C6">
      <w:pPr>
        <w:ind w:firstLine="540"/>
        <w:jc w:val="both"/>
        <w:rPr>
          <w:sz w:val="20"/>
          <w:szCs w:val="20"/>
        </w:rPr>
      </w:pPr>
      <w:r w:rsidRPr="00D423C6">
        <w:rPr>
          <w:sz w:val="20"/>
          <w:szCs w:val="20"/>
        </w:rPr>
        <w:t>5.2.3</w:t>
      </w:r>
      <w:proofErr w:type="gramStart"/>
      <w:r w:rsidRPr="00D423C6">
        <w:rPr>
          <w:sz w:val="20"/>
          <w:szCs w:val="20"/>
        </w:rPr>
        <w:t xml:space="preserve"> Н</w:t>
      </w:r>
      <w:proofErr w:type="gramEnd"/>
      <w:r w:rsidRPr="00D423C6">
        <w:rPr>
          <w:sz w:val="20"/>
          <w:szCs w:val="20"/>
        </w:rPr>
        <w:t>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  в подведомственные налоговые органы;</w:t>
      </w:r>
    </w:p>
    <w:p w:rsidR="00D423C6" w:rsidRPr="00D423C6" w:rsidRDefault="00D423C6" w:rsidP="00D423C6">
      <w:pPr>
        <w:ind w:firstLine="540"/>
        <w:jc w:val="both"/>
        <w:rPr>
          <w:sz w:val="20"/>
          <w:szCs w:val="20"/>
        </w:rPr>
      </w:pPr>
      <w:r w:rsidRPr="00D423C6">
        <w:rPr>
          <w:sz w:val="20"/>
          <w:szCs w:val="20"/>
        </w:rPr>
        <w:t>5.2.4</w:t>
      </w:r>
      <w:proofErr w:type="gramStart"/>
      <w:r w:rsidRPr="00D423C6">
        <w:rPr>
          <w:sz w:val="20"/>
          <w:szCs w:val="20"/>
        </w:rPr>
        <w:t xml:space="preserve"> П</w:t>
      </w:r>
      <w:proofErr w:type="gramEnd"/>
      <w:r w:rsidRPr="00D423C6">
        <w:rPr>
          <w:sz w:val="20"/>
          <w:szCs w:val="20"/>
        </w:rPr>
        <w:t>ринимать личное участие в проведении мероприятий (совещаний, семинаров и т.д.) по вопросам, относящимся к компетенции отдела;</w:t>
      </w:r>
    </w:p>
    <w:p w:rsidR="00D423C6" w:rsidRPr="00D423C6" w:rsidRDefault="00D423C6" w:rsidP="00D423C6">
      <w:pPr>
        <w:ind w:firstLine="540"/>
        <w:jc w:val="both"/>
        <w:rPr>
          <w:sz w:val="20"/>
          <w:szCs w:val="20"/>
        </w:rPr>
      </w:pPr>
      <w:r w:rsidRPr="00D423C6">
        <w:rPr>
          <w:sz w:val="20"/>
          <w:szCs w:val="20"/>
        </w:rPr>
        <w:t>5.2.5</w:t>
      </w:r>
      <w:proofErr w:type="gramStart"/>
      <w:r w:rsidRPr="00D423C6">
        <w:rPr>
          <w:sz w:val="20"/>
          <w:szCs w:val="20"/>
        </w:rPr>
        <w:t xml:space="preserve">  Б</w:t>
      </w:r>
      <w:proofErr w:type="gramEnd"/>
      <w:r w:rsidRPr="00D423C6">
        <w:rPr>
          <w:sz w:val="20"/>
          <w:szCs w:val="20"/>
        </w:rPr>
        <w:t>ыть допущенным к информационным ресурсам отдела;</w:t>
      </w:r>
    </w:p>
    <w:p w:rsidR="00D423C6" w:rsidRPr="00D423C6" w:rsidRDefault="00D423C6" w:rsidP="00D423C6">
      <w:pPr>
        <w:pStyle w:val="af5"/>
        <w:spacing w:after="0"/>
        <w:ind w:left="0" w:firstLine="540"/>
        <w:jc w:val="both"/>
        <w:rPr>
          <w:sz w:val="20"/>
          <w:szCs w:val="20"/>
        </w:rPr>
      </w:pPr>
      <w:r w:rsidRPr="00D423C6">
        <w:rPr>
          <w:sz w:val="20"/>
          <w:szCs w:val="20"/>
        </w:rPr>
        <w:t>5.2.6</w:t>
      </w:r>
      <w:proofErr w:type="gramStart"/>
      <w:r w:rsidRPr="00D423C6">
        <w:rPr>
          <w:sz w:val="20"/>
          <w:szCs w:val="20"/>
        </w:rPr>
        <w:t xml:space="preserve"> Н</w:t>
      </w:r>
      <w:proofErr w:type="gramEnd"/>
      <w:r w:rsidRPr="00D423C6">
        <w:rPr>
          <w:sz w:val="20"/>
          <w:szCs w:val="20"/>
        </w:rPr>
        <w:t>а доступ к информационным ресурсам в объемах, необходимых для исполнения должностных обязанностей.</w:t>
      </w:r>
    </w:p>
    <w:p w:rsidR="00D423C6" w:rsidRPr="00D423C6" w:rsidRDefault="00D423C6" w:rsidP="00D423C6">
      <w:pPr>
        <w:pStyle w:val="a7"/>
        <w:ind w:firstLine="540"/>
        <w:jc w:val="both"/>
        <w:rPr>
          <w:sz w:val="20"/>
        </w:rPr>
      </w:pPr>
      <w:r w:rsidRPr="00D423C6">
        <w:rPr>
          <w:sz w:val="20"/>
        </w:rPr>
        <w:lastRenderedPageBreak/>
        <w:t>5.2.7</w:t>
      </w:r>
      <w:proofErr w:type="gramStart"/>
      <w:r w:rsidRPr="00D423C6">
        <w:rPr>
          <w:sz w:val="20"/>
        </w:rPr>
        <w:t xml:space="preserve"> О</w:t>
      </w:r>
      <w:proofErr w:type="gramEnd"/>
      <w:r w:rsidRPr="00D423C6">
        <w:rPr>
          <w:sz w:val="20"/>
        </w:rPr>
        <w:t>существлять иные права, предусмотренные положениями об управлении, об отделе, иными нормативными актами.</w:t>
      </w:r>
    </w:p>
    <w:p w:rsidR="00D423C6" w:rsidRPr="00D423C6" w:rsidRDefault="00D423C6" w:rsidP="00D423C6">
      <w:pPr>
        <w:autoSpaceDE w:val="0"/>
        <w:autoSpaceDN w:val="0"/>
        <w:adjustRightInd w:val="0"/>
        <w:ind w:firstLine="540"/>
        <w:jc w:val="both"/>
        <w:rPr>
          <w:b/>
          <w:sz w:val="20"/>
          <w:szCs w:val="20"/>
        </w:rPr>
      </w:pPr>
    </w:p>
    <w:p w:rsidR="00D423C6" w:rsidRPr="00D423C6" w:rsidRDefault="00D423C6" w:rsidP="00D423C6">
      <w:pPr>
        <w:autoSpaceDE w:val="0"/>
        <w:autoSpaceDN w:val="0"/>
        <w:adjustRightInd w:val="0"/>
        <w:ind w:firstLine="540"/>
        <w:jc w:val="both"/>
        <w:rPr>
          <w:b/>
          <w:sz w:val="20"/>
          <w:szCs w:val="20"/>
        </w:rPr>
      </w:pPr>
      <w:r w:rsidRPr="00D423C6">
        <w:rPr>
          <w:b/>
          <w:sz w:val="20"/>
          <w:szCs w:val="20"/>
        </w:rPr>
        <w:t xml:space="preserve">6. Государственный налоговый инспектор несёт ответственность </w:t>
      </w:r>
      <w:proofErr w:type="gramStart"/>
      <w:r w:rsidRPr="00D423C6">
        <w:rPr>
          <w:b/>
          <w:sz w:val="20"/>
          <w:szCs w:val="20"/>
        </w:rPr>
        <w:t>за</w:t>
      </w:r>
      <w:proofErr w:type="gramEnd"/>
      <w:r w:rsidRPr="00D423C6">
        <w:rPr>
          <w:b/>
          <w:sz w:val="20"/>
          <w:szCs w:val="20"/>
        </w:rPr>
        <w:t xml:space="preserve">: </w:t>
      </w:r>
    </w:p>
    <w:p w:rsidR="00D423C6" w:rsidRPr="00D423C6" w:rsidRDefault="00D423C6" w:rsidP="00D423C6">
      <w:pPr>
        <w:pStyle w:val="af5"/>
        <w:spacing w:after="0"/>
        <w:ind w:left="0" w:firstLine="540"/>
        <w:jc w:val="both"/>
        <w:rPr>
          <w:sz w:val="20"/>
          <w:szCs w:val="20"/>
        </w:rPr>
      </w:pPr>
      <w:r w:rsidRPr="00D423C6">
        <w:rPr>
          <w:sz w:val="20"/>
          <w:szCs w:val="20"/>
        </w:rPr>
        <w:t xml:space="preserve">6.1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 </w:t>
      </w:r>
    </w:p>
    <w:p w:rsidR="00D423C6" w:rsidRPr="00D423C6" w:rsidRDefault="00D423C6" w:rsidP="00D423C6">
      <w:pPr>
        <w:pStyle w:val="af5"/>
        <w:spacing w:after="0"/>
        <w:ind w:left="0" w:firstLine="540"/>
        <w:jc w:val="both"/>
        <w:rPr>
          <w:sz w:val="20"/>
          <w:szCs w:val="20"/>
        </w:rPr>
      </w:pPr>
      <w:r w:rsidRPr="00D423C6">
        <w:rPr>
          <w:sz w:val="20"/>
          <w:szCs w:val="20"/>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D423C6" w:rsidRPr="00D423C6" w:rsidRDefault="00D423C6" w:rsidP="00D423C6">
      <w:pPr>
        <w:pStyle w:val="af5"/>
        <w:spacing w:after="0"/>
        <w:ind w:left="0" w:firstLine="540"/>
        <w:jc w:val="both"/>
        <w:rPr>
          <w:sz w:val="20"/>
          <w:szCs w:val="20"/>
        </w:rPr>
      </w:pPr>
      <w:r w:rsidRPr="00D423C6">
        <w:rPr>
          <w:sz w:val="20"/>
          <w:szCs w:val="20"/>
        </w:rPr>
        <w:t>6.3 Действие или бездействие, приведшее к нарушению прав и законных интересов граждан;</w:t>
      </w:r>
    </w:p>
    <w:p w:rsidR="00D423C6" w:rsidRPr="00D423C6" w:rsidRDefault="00D423C6" w:rsidP="00D423C6">
      <w:pPr>
        <w:pStyle w:val="af5"/>
        <w:spacing w:after="0"/>
        <w:ind w:left="0" w:firstLine="540"/>
        <w:jc w:val="both"/>
        <w:rPr>
          <w:sz w:val="20"/>
          <w:szCs w:val="20"/>
        </w:rPr>
      </w:pPr>
      <w:r w:rsidRPr="00D423C6">
        <w:rPr>
          <w:sz w:val="20"/>
          <w:szCs w:val="20"/>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D423C6" w:rsidRPr="00D423C6" w:rsidRDefault="00D423C6" w:rsidP="00D423C6">
      <w:pPr>
        <w:pStyle w:val="af5"/>
        <w:spacing w:after="0"/>
        <w:ind w:left="0" w:firstLine="540"/>
        <w:jc w:val="both"/>
        <w:rPr>
          <w:sz w:val="20"/>
          <w:szCs w:val="20"/>
        </w:rPr>
      </w:pPr>
      <w:r w:rsidRPr="00D423C6">
        <w:rPr>
          <w:sz w:val="20"/>
          <w:szCs w:val="20"/>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D423C6" w:rsidRPr="00D423C6" w:rsidRDefault="00D423C6" w:rsidP="00D423C6">
      <w:pPr>
        <w:pStyle w:val="af5"/>
        <w:spacing w:after="0"/>
        <w:ind w:left="0" w:firstLine="540"/>
        <w:jc w:val="both"/>
        <w:rPr>
          <w:sz w:val="20"/>
          <w:szCs w:val="20"/>
        </w:rPr>
      </w:pPr>
      <w:r w:rsidRPr="00D423C6">
        <w:rPr>
          <w:sz w:val="20"/>
          <w:szCs w:val="20"/>
        </w:rPr>
        <w:t xml:space="preserve">6.6 Имущественный ущерб, причиненный по его вине; </w:t>
      </w:r>
    </w:p>
    <w:p w:rsidR="00D423C6" w:rsidRPr="00D423C6" w:rsidRDefault="00D423C6" w:rsidP="00D423C6">
      <w:pPr>
        <w:pStyle w:val="af5"/>
        <w:spacing w:after="0"/>
        <w:ind w:left="0" w:firstLine="540"/>
        <w:jc w:val="both"/>
        <w:rPr>
          <w:sz w:val="20"/>
          <w:szCs w:val="20"/>
        </w:rPr>
      </w:pPr>
      <w:r w:rsidRPr="00D423C6">
        <w:rPr>
          <w:sz w:val="20"/>
          <w:szCs w:val="20"/>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D423C6" w:rsidRPr="00D423C6" w:rsidRDefault="00D423C6" w:rsidP="00D423C6">
      <w:pPr>
        <w:pStyle w:val="af5"/>
        <w:spacing w:after="0"/>
        <w:ind w:left="0" w:firstLine="540"/>
        <w:jc w:val="both"/>
        <w:rPr>
          <w:sz w:val="20"/>
          <w:szCs w:val="20"/>
        </w:rPr>
      </w:pPr>
      <w:r w:rsidRPr="00D423C6">
        <w:rPr>
          <w:sz w:val="20"/>
          <w:szCs w:val="20"/>
        </w:rPr>
        <w:t>6.8 Нарушение служебной и исполнительской дисциплины.</w:t>
      </w:r>
    </w:p>
    <w:p w:rsidR="00D423C6" w:rsidRPr="00D423C6" w:rsidRDefault="00D423C6" w:rsidP="00D423C6">
      <w:pPr>
        <w:autoSpaceDE w:val="0"/>
        <w:autoSpaceDN w:val="0"/>
        <w:adjustRightInd w:val="0"/>
        <w:ind w:firstLine="540"/>
        <w:jc w:val="both"/>
        <w:rPr>
          <w:sz w:val="20"/>
          <w:szCs w:val="20"/>
        </w:rPr>
      </w:pPr>
      <w:r w:rsidRPr="00D423C6">
        <w:rPr>
          <w:sz w:val="20"/>
          <w:szCs w:val="20"/>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IV. Перечень вопросов, по которым государственный</w:t>
      </w:r>
    </w:p>
    <w:p w:rsidR="00D423C6" w:rsidRPr="00D423C6" w:rsidRDefault="00D423C6" w:rsidP="00D423C6">
      <w:pPr>
        <w:autoSpaceDE w:val="0"/>
        <w:autoSpaceDN w:val="0"/>
        <w:adjustRightInd w:val="0"/>
        <w:jc w:val="center"/>
        <w:rPr>
          <w:b/>
          <w:sz w:val="20"/>
          <w:szCs w:val="20"/>
        </w:rPr>
      </w:pPr>
      <w:r w:rsidRPr="00D423C6">
        <w:rPr>
          <w:b/>
          <w:sz w:val="20"/>
          <w:szCs w:val="20"/>
        </w:rPr>
        <w:t>налоговый инспектор вправе или обязан самостоятельно</w:t>
      </w:r>
    </w:p>
    <w:p w:rsidR="00D423C6" w:rsidRPr="00D423C6" w:rsidRDefault="00D423C6" w:rsidP="00D423C6">
      <w:pPr>
        <w:autoSpaceDE w:val="0"/>
        <w:autoSpaceDN w:val="0"/>
        <w:adjustRightInd w:val="0"/>
        <w:jc w:val="center"/>
        <w:rPr>
          <w:b/>
          <w:sz w:val="20"/>
          <w:szCs w:val="20"/>
        </w:rPr>
      </w:pPr>
      <w:r w:rsidRPr="00D423C6">
        <w:rPr>
          <w:b/>
          <w:sz w:val="20"/>
          <w:szCs w:val="20"/>
        </w:rPr>
        <w:t>принимать управленческие и иные решения.</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b/>
          <w:sz w:val="20"/>
          <w:szCs w:val="20"/>
        </w:rPr>
      </w:pPr>
      <w:r w:rsidRPr="00D423C6">
        <w:rPr>
          <w:sz w:val="20"/>
          <w:szCs w:val="20"/>
        </w:rPr>
        <w:t xml:space="preserve">7. При исполнении служебных обязанностей государственный налоговый инспектор </w:t>
      </w:r>
      <w:r w:rsidRPr="00D423C6">
        <w:rPr>
          <w:b/>
          <w:sz w:val="20"/>
          <w:szCs w:val="20"/>
          <w:u w:val="single"/>
        </w:rPr>
        <w:t xml:space="preserve">вправе </w:t>
      </w:r>
      <w:r w:rsidRPr="00D423C6">
        <w:rPr>
          <w:b/>
          <w:sz w:val="20"/>
          <w:szCs w:val="20"/>
        </w:rPr>
        <w:t>в пределах функциональной  компетенции, определенной данным Должностным регламентом самостоятельно принимать решения по вопросам:</w:t>
      </w:r>
    </w:p>
    <w:p w:rsidR="00D423C6" w:rsidRPr="00D423C6" w:rsidRDefault="00D423C6" w:rsidP="00D423C6">
      <w:pPr>
        <w:ind w:firstLine="708"/>
        <w:jc w:val="both"/>
        <w:rPr>
          <w:sz w:val="20"/>
          <w:szCs w:val="20"/>
        </w:rPr>
      </w:pPr>
      <w:r w:rsidRPr="00D423C6">
        <w:rPr>
          <w:sz w:val="20"/>
          <w:szCs w:val="20"/>
        </w:rPr>
        <w:t xml:space="preserve">предусмотренным Положением об Управлении, Положением об Отделе Управления, Административным регламентом Управления, иными нормативными актами; </w:t>
      </w:r>
    </w:p>
    <w:p w:rsidR="00D423C6" w:rsidRPr="00D423C6" w:rsidRDefault="00D423C6" w:rsidP="00D423C6">
      <w:pPr>
        <w:ind w:firstLine="720"/>
        <w:jc w:val="both"/>
        <w:rPr>
          <w:sz w:val="20"/>
          <w:szCs w:val="20"/>
        </w:rPr>
      </w:pPr>
      <w:r w:rsidRPr="00D423C6">
        <w:rPr>
          <w:sz w:val="20"/>
          <w:szCs w:val="20"/>
        </w:rPr>
        <w:t>- давать рекомендации, указания;</w:t>
      </w:r>
    </w:p>
    <w:p w:rsidR="00D423C6" w:rsidRPr="00D423C6" w:rsidRDefault="00D423C6" w:rsidP="00D423C6">
      <w:pPr>
        <w:ind w:firstLine="720"/>
        <w:jc w:val="both"/>
        <w:rPr>
          <w:sz w:val="20"/>
          <w:szCs w:val="20"/>
        </w:rPr>
      </w:pPr>
      <w:r w:rsidRPr="00D423C6">
        <w:rPr>
          <w:sz w:val="20"/>
          <w:szCs w:val="20"/>
        </w:rPr>
        <w:t>- осуществлять проверку документов и при необходимости возвращать их на переоформление или запрашивать дополнительную информацию;</w:t>
      </w:r>
    </w:p>
    <w:p w:rsidR="00D423C6" w:rsidRPr="00D423C6" w:rsidRDefault="00D423C6" w:rsidP="00D423C6">
      <w:pPr>
        <w:ind w:firstLine="720"/>
        <w:jc w:val="both"/>
        <w:rPr>
          <w:sz w:val="20"/>
          <w:szCs w:val="20"/>
        </w:rPr>
      </w:pPr>
      <w:r w:rsidRPr="00D423C6">
        <w:rPr>
          <w:sz w:val="20"/>
          <w:szCs w:val="20"/>
        </w:rPr>
        <w:t>- переадресовывать документы, устанавливать или изменять (продлевать) сроки их исполнения;</w:t>
      </w:r>
    </w:p>
    <w:p w:rsidR="00D423C6" w:rsidRPr="00D423C6" w:rsidRDefault="00D423C6" w:rsidP="00D423C6">
      <w:pPr>
        <w:ind w:firstLine="720"/>
        <w:jc w:val="both"/>
        <w:rPr>
          <w:sz w:val="20"/>
          <w:szCs w:val="20"/>
        </w:rPr>
      </w:pPr>
      <w:r w:rsidRPr="00D423C6">
        <w:rPr>
          <w:sz w:val="20"/>
          <w:szCs w:val="20"/>
        </w:rPr>
        <w:t>- принимать решение о соответствии представленных документов требованиям законодательства, их достоверности и полноты;</w:t>
      </w:r>
    </w:p>
    <w:p w:rsidR="00D423C6" w:rsidRPr="00D423C6" w:rsidRDefault="00D423C6" w:rsidP="00D423C6">
      <w:pPr>
        <w:ind w:firstLine="720"/>
        <w:jc w:val="both"/>
        <w:rPr>
          <w:sz w:val="20"/>
          <w:szCs w:val="20"/>
        </w:rPr>
      </w:pPr>
      <w:r w:rsidRPr="00D423C6">
        <w:rPr>
          <w:sz w:val="20"/>
          <w:szCs w:val="20"/>
        </w:rPr>
        <w:t>- переадресовывать документы, устанавливать или изменять (продлевать) сроки их исполнения;</w:t>
      </w:r>
    </w:p>
    <w:p w:rsidR="00D423C6" w:rsidRPr="00D423C6" w:rsidRDefault="00D423C6" w:rsidP="00D423C6">
      <w:pPr>
        <w:autoSpaceDE w:val="0"/>
        <w:autoSpaceDN w:val="0"/>
        <w:adjustRightInd w:val="0"/>
        <w:ind w:firstLine="540"/>
        <w:jc w:val="both"/>
        <w:rPr>
          <w:b/>
          <w:sz w:val="20"/>
          <w:szCs w:val="20"/>
        </w:rPr>
      </w:pPr>
      <w:r w:rsidRPr="00D423C6">
        <w:rPr>
          <w:sz w:val="20"/>
          <w:szCs w:val="20"/>
        </w:rPr>
        <w:t xml:space="preserve">8. При исполнении служебных обязанностей государственный налоговый инспектор </w:t>
      </w:r>
      <w:r w:rsidRPr="00D423C6">
        <w:rPr>
          <w:b/>
          <w:sz w:val="20"/>
          <w:szCs w:val="20"/>
          <w:u w:val="single"/>
        </w:rPr>
        <w:t>обязан</w:t>
      </w:r>
      <w:r w:rsidRPr="00D423C6">
        <w:rPr>
          <w:sz w:val="20"/>
          <w:szCs w:val="20"/>
        </w:rPr>
        <w:t xml:space="preserve"> </w:t>
      </w:r>
      <w:r w:rsidRPr="00D423C6">
        <w:rPr>
          <w:b/>
          <w:sz w:val="20"/>
          <w:szCs w:val="20"/>
        </w:rPr>
        <w:t>в пределах функциональной  компетенции, определенной данным Должностным регламентом самостоятельно принимать решения по вопросам:</w:t>
      </w:r>
    </w:p>
    <w:p w:rsidR="00D423C6" w:rsidRPr="00D423C6" w:rsidRDefault="00D423C6" w:rsidP="00D423C6">
      <w:pPr>
        <w:ind w:firstLine="708"/>
        <w:jc w:val="both"/>
        <w:rPr>
          <w:sz w:val="20"/>
          <w:szCs w:val="20"/>
        </w:rPr>
      </w:pPr>
      <w:r w:rsidRPr="00D423C6">
        <w:rPr>
          <w:sz w:val="20"/>
          <w:szCs w:val="20"/>
        </w:rPr>
        <w:t xml:space="preserve">- предусмотренным Положением об Управлении, Положением об Отделе Управления, Административным регламентом Управления, иными нормативными актами; </w:t>
      </w:r>
    </w:p>
    <w:p w:rsidR="00D423C6" w:rsidRPr="00D423C6" w:rsidRDefault="00D423C6" w:rsidP="00D423C6">
      <w:pPr>
        <w:ind w:firstLine="720"/>
        <w:jc w:val="both"/>
        <w:rPr>
          <w:sz w:val="20"/>
          <w:szCs w:val="20"/>
        </w:rPr>
      </w:pPr>
      <w:proofErr w:type="gramStart"/>
      <w:r w:rsidRPr="00D423C6">
        <w:rPr>
          <w:sz w:val="20"/>
          <w:szCs w:val="20"/>
        </w:rPr>
        <w:t>- принимать участие в рассмотрении, согласовании, визировании протокола, акта, служебной записки, методического письма, отчета, плана, доклада и т.д.;</w:t>
      </w:r>
      <w:proofErr w:type="gramEnd"/>
    </w:p>
    <w:p w:rsidR="00D423C6" w:rsidRPr="00D423C6" w:rsidRDefault="00D423C6" w:rsidP="00D423C6">
      <w:pPr>
        <w:ind w:firstLine="720"/>
        <w:jc w:val="both"/>
        <w:rPr>
          <w:sz w:val="20"/>
          <w:szCs w:val="20"/>
        </w:rPr>
      </w:pPr>
      <w:r w:rsidRPr="00D423C6">
        <w:rPr>
          <w:sz w:val="20"/>
          <w:szCs w:val="20"/>
        </w:rPr>
        <w:t>- информировать вышестоящего руководителя для принятия им соответствующего решения;</w:t>
      </w:r>
    </w:p>
    <w:p w:rsidR="00D423C6" w:rsidRPr="00D423C6" w:rsidRDefault="00D423C6" w:rsidP="00D423C6">
      <w:pPr>
        <w:ind w:firstLine="720"/>
        <w:jc w:val="both"/>
        <w:rPr>
          <w:sz w:val="20"/>
          <w:szCs w:val="20"/>
        </w:rPr>
      </w:pPr>
      <w:r w:rsidRPr="00D423C6">
        <w:rPr>
          <w:sz w:val="20"/>
          <w:szCs w:val="20"/>
        </w:rPr>
        <w:t>- отказывать в приеме документов, оформленных ненадлежащим образом;</w:t>
      </w:r>
    </w:p>
    <w:p w:rsidR="00D423C6" w:rsidRPr="00D423C6" w:rsidRDefault="00D423C6" w:rsidP="00D423C6">
      <w:pPr>
        <w:ind w:firstLine="720"/>
        <w:jc w:val="both"/>
        <w:rPr>
          <w:sz w:val="20"/>
          <w:szCs w:val="20"/>
        </w:rPr>
      </w:pPr>
      <w:r w:rsidRPr="00D423C6">
        <w:rPr>
          <w:sz w:val="20"/>
          <w:szCs w:val="20"/>
        </w:rPr>
        <w:t>- исполнять соответствующий документ или направлять его другому исполнителю;</w:t>
      </w:r>
    </w:p>
    <w:p w:rsidR="00D423C6" w:rsidRPr="00D423C6" w:rsidRDefault="00D423C6" w:rsidP="00D423C6">
      <w:pPr>
        <w:ind w:firstLine="720"/>
        <w:jc w:val="both"/>
        <w:rPr>
          <w:sz w:val="20"/>
          <w:szCs w:val="20"/>
        </w:rPr>
      </w:pPr>
      <w:r w:rsidRPr="00D423C6">
        <w:rPr>
          <w:sz w:val="20"/>
          <w:szCs w:val="20"/>
        </w:rPr>
        <w:t>- заверять надлежащим образом копию какого-либо документа и др.</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V. Перечень вопросов, по которым государственный</w:t>
      </w:r>
    </w:p>
    <w:p w:rsidR="00D423C6" w:rsidRPr="00D423C6" w:rsidRDefault="00D423C6" w:rsidP="00D423C6">
      <w:pPr>
        <w:autoSpaceDE w:val="0"/>
        <w:autoSpaceDN w:val="0"/>
        <w:adjustRightInd w:val="0"/>
        <w:jc w:val="center"/>
        <w:rPr>
          <w:b/>
          <w:sz w:val="20"/>
          <w:szCs w:val="20"/>
        </w:rPr>
      </w:pPr>
      <w:r w:rsidRPr="00D423C6">
        <w:rPr>
          <w:b/>
          <w:sz w:val="20"/>
          <w:szCs w:val="20"/>
        </w:rPr>
        <w:t>налоговый инспектор вправе или обязан участвовать</w:t>
      </w:r>
    </w:p>
    <w:p w:rsidR="00D423C6" w:rsidRPr="00D423C6" w:rsidRDefault="00D423C6" w:rsidP="00D423C6">
      <w:pPr>
        <w:autoSpaceDE w:val="0"/>
        <w:autoSpaceDN w:val="0"/>
        <w:adjustRightInd w:val="0"/>
        <w:jc w:val="center"/>
        <w:rPr>
          <w:b/>
          <w:sz w:val="20"/>
          <w:szCs w:val="20"/>
        </w:rPr>
      </w:pPr>
      <w:r w:rsidRPr="00D423C6">
        <w:rPr>
          <w:b/>
          <w:sz w:val="20"/>
          <w:szCs w:val="20"/>
        </w:rPr>
        <w:t>при подготовке проектов нормативных правовых актов</w:t>
      </w:r>
    </w:p>
    <w:p w:rsidR="00D423C6" w:rsidRPr="00D423C6" w:rsidRDefault="00D423C6" w:rsidP="00D423C6">
      <w:pPr>
        <w:autoSpaceDE w:val="0"/>
        <w:autoSpaceDN w:val="0"/>
        <w:adjustRightInd w:val="0"/>
        <w:jc w:val="center"/>
        <w:rPr>
          <w:b/>
          <w:sz w:val="20"/>
          <w:szCs w:val="20"/>
        </w:rPr>
      </w:pPr>
      <w:r w:rsidRPr="00D423C6">
        <w:rPr>
          <w:b/>
          <w:sz w:val="20"/>
          <w:szCs w:val="20"/>
        </w:rPr>
        <w:t>и (или) проектов управленческих и иных решений.</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9. Государственный налоговый инспектор в соответствии со своей компетенцией вправе участвовать в подготовке (обсуждении) следующих проектов:</w:t>
      </w:r>
    </w:p>
    <w:p w:rsidR="00D423C6" w:rsidRPr="00D423C6" w:rsidRDefault="00D423C6" w:rsidP="00D423C6">
      <w:pPr>
        <w:ind w:firstLine="540"/>
        <w:jc w:val="both"/>
        <w:rPr>
          <w:sz w:val="20"/>
          <w:szCs w:val="20"/>
        </w:rPr>
      </w:pPr>
      <w:r w:rsidRPr="00D423C6">
        <w:rPr>
          <w:sz w:val="20"/>
          <w:szCs w:val="20"/>
        </w:rPr>
        <w:t xml:space="preserve">9.1. Применения законодательства Российской Федерации о налогах и сборах;       </w:t>
      </w:r>
    </w:p>
    <w:p w:rsidR="00D423C6" w:rsidRPr="00D423C6" w:rsidRDefault="00D423C6" w:rsidP="00D423C6">
      <w:pPr>
        <w:autoSpaceDE w:val="0"/>
        <w:autoSpaceDN w:val="0"/>
        <w:adjustRightInd w:val="0"/>
        <w:ind w:firstLine="540"/>
        <w:jc w:val="both"/>
        <w:rPr>
          <w:sz w:val="20"/>
          <w:szCs w:val="20"/>
        </w:rPr>
      </w:pPr>
      <w:r w:rsidRPr="00D423C6">
        <w:rPr>
          <w:sz w:val="20"/>
          <w:szCs w:val="20"/>
        </w:rPr>
        <w:t>9.2.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D423C6" w:rsidRPr="00D423C6" w:rsidRDefault="00D423C6" w:rsidP="00D423C6">
      <w:pPr>
        <w:ind w:firstLine="540"/>
        <w:jc w:val="both"/>
        <w:rPr>
          <w:sz w:val="20"/>
          <w:szCs w:val="20"/>
        </w:rPr>
      </w:pPr>
      <w:r w:rsidRPr="00D423C6">
        <w:rPr>
          <w:sz w:val="20"/>
          <w:szCs w:val="20"/>
        </w:rPr>
        <w:t>9.3. По применению мер ответственности, предусмотренных законодательством Российской Федерации за совершение правонарушений;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9.4. По взаимодействию с правоохранительными и иными контролирующими органами, направленных на выполнение задач и функций Отдела;</w:t>
      </w:r>
    </w:p>
    <w:p w:rsidR="00D423C6" w:rsidRPr="00D423C6" w:rsidRDefault="00D423C6" w:rsidP="00D423C6">
      <w:pPr>
        <w:autoSpaceDE w:val="0"/>
        <w:autoSpaceDN w:val="0"/>
        <w:adjustRightInd w:val="0"/>
        <w:ind w:firstLine="540"/>
        <w:jc w:val="both"/>
        <w:rPr>
          <w:sz w:val="20"/>
          <w:szCs w:val="20"/>
        </w:rPr>
      </w:pPr>
      <w:r w:rsidRPr="00D423C6">
        <w:rPr>
          <w:sz w:val="20"/>
          <w:szCs w:val="20"/>
        </w:rPr>
        <w:lastRenderedPageBreak/>
        <w:t>9.5. Возникающих при рассмотрении Управлением заявлений, предложений, жалоб граждан и юридических лиц;</w:t>
      </w:r>
    </w:p>
    <w:p w:rsidR="00D423C6" w:rsidRPr="00D423C6" w:rsidRDefault="00D423C6" w:rsidP="00D423C6">
      <w:pPr>
        <w:autoSpaceDE w:val="0"/>
        <w:autoSpaceDN w:val="0"/>
        <w:adjustRightInd w:val="0"/>
        <w:ind w:firstLine="540"/>
        <w:jc w:val="both"/>
        <w:rPr>
          <w:sz w:val="20"/>
          <w:szCs w:val="20"/>
        </w:rPr>
      </w:pPr>
      <w:r w:rsidRPr="00D423C6">
        <w:rPr>
          <w:sz w:val="20"/>
          <w:szCs w:val="20"/>
        </w:rPr>
        <w:t>9.6.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9.7. Иным вопросам.</w:t>
      </w:r>
    </w:p>
    <w:p w:rsidR="00D423C6" w:rsidRPr="00D423C6" w:rsidRDefault="00D423C6" w:rsidP="00D423C6">
      <w:pPr>
        <w:autoSpaceDE w:val="0"/>
        <w:autoSpaceDN w:val="0"/>
        <w:adjustRightInd w:val="0"/>
        <w:ind w:firstLine="540"/>
        <w:jc w:val="both"/>
        <w:rPr>
          <w:sz w:val="20"/>
          <w:szCs w:val="20"/>
        </w:rPr>
      </w:pPr>
      <w:r w:rsidRPr="00D423C6">
        <w:rPr>
          <w:sz w:val="20"/>
          <w:szCs w:val="20"/>
        </w:rP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D423C6" w:rsidRPr="00D423C6" w:rsidRDefault="00D423C6" w:rsidP="00D423C6">
      <w:pPr>
        <w:autoSpaceDE w:val="0"/>
        <w:autoSpaceDN w:val="0"/>
        <w:adjustRightInd w:val="0"/>
        <w:ind w:firstLine="540"/>
        <w:jc w:val="both"/>
        <w:rPr>
          <w:sz w:val="20"/>
          <w:szCs w:val="20"/>
        </w:rPr>
      </w:pPr>
      <w:r w:rsidRPr="00D423C6">
        <w:rPr>
          <w:sz w:val="20"/>
          <w:szCs w:val="20"/>
        </w:rPr>
        <w:t>положений об отделе и управлении;</w:t>
      </w:r>
    </w:p>
    <w:p w:rsidR="00D423C6" w:rsidRPr="00D423C6" w:rsidRDefault="00D423C6" w:rsidP="00D423C6">
      <w:pPr>
        <w:autoSpaceDE w:val="0"/>
        <w:autoSpaceDN w:val="0"/>
        <w:adjustRightInd w:val="0"/>
        <w:ind w:firstLine="540"/>
        <w:jc w:val="both"/>
        <w:rPr>
          <w:sz w:val="20"/>
          <w:szCs w:val="20"/>
        </w:rPr>
      </w:pPr>
      <w:r w:rsidRPr="00D423C6">
        <w:rPr>
          <w:sz w:val="20"/>
          <w:szCs w:val="20"/>
        </w:rPr>
        <w:t>графика отпусков гражданских служащих отдела;</w:t>
      </w:r>
    </w:p>
    <w:p w:rsidR="00D423C6" w:rsidRPr="00D423C6" w:rsidRDefault="00D423C6" w:rsidP="00D423C6">
      <w:pPr>
        <w:autoSpaceDE w:val="0"/>
        <w:autoSpaceDN w:val="0"/>
        <w:adjustRightInd w:val="0"/>
        <w:ind w:firstLine="540"/>
        <w:jc w:val="both"/>
        <w:rPr>
          <w:sz w:val="20"/>
          <w:szCs w:val="20"/>
        </w:rPr>
      </w:pPr>
      <w:r w:rsidRPr="00D423C6">
        <w:rPr>
          <w:sz w:val="20"/>
          <w:szCs w:val="20"/>
        </w:rPr>
        <w:t>иных актов по поручению непосредственного руководителя и руководства управления.</w:t>
      </w:r>
    </w:p>
    <w:p w:rsidR="00D423C6" w:rsidRPr="00D423C6" w:rsidRDefault="00D423C6" w:rsidP="00D423C6">
      <w:pPr>
        <w:autoSpaceDE w:val="0"/>
        <w:autoSpaceDN w:val="0"/>
        <w:adjustRightInd w:val="0"/>
        <w:jc w:val="center"/>
        <w:outlineLvl w:val="2"/>
        <w:rPr>
          <w:b/>
          <w:sz w:val="20"/>
          <w:szCs w:val="20"/>
        </w:rPr>
      </w:pPr>
      <w:r w:rsidRPr="00D423C6">
        <w:rPr>
          <w:b/>
          <w:sz w:val="20"/>
          <w:szCs w:val="20"/>
        </w:rPr>
        <w:t>VI. Сроки и процедуры подготовки, рассмотрения</w:t>
      </w:r>
    </w:p>
    <w:p w:rsidR="00D423C6" w:rsidRPr="00D423C6" w:rsidRDefault="00D423C6" w:rsidP="00D423C6">
      <w:pPr>
        <w:autoSpaceDE w:val="0"/>
        <w:autoSpaceDN w:val="0"/>
        <w:adjustRightInd w:val="0"/>
        <w:jc w:val="center"/>
        <w:rPr>
          <w:b/>
          <w:sz w:val="20"/>
          <w:szCs w:val="20"/>
        </w:rPr>
      </w:pPr>
      <w:r w:rsidRPr="00D423C6">
        <w:rPr>
          <w:b/>
          <w:sz w:val="20"/>
          <w:szCs w:val="20"/>
        </w:rPr>
        <w:t>проектов управленческих и иных решений, порядок</w:t>
      </w:r>
    </w:p>
    <w:p w:rsidR="00D423C6" w:rsidRPr="00D423C6" w:rsidRDefault="00D423C6" w:rsidP="00D423C6">
      <w:pPr>
        <w:autoSpaceDE w:val="0"/>
        <w:autoSpaceDN w:val="0"/>
        <w:adjustRightInd w:val="0"/>
        <w:jc w:val="center"/>
        <w:rPr>
          <w:b/>
          <w:sz w:val="20"/>
          <w:szCs w:val="20"/>
        </w:rPr>
      </w:pPr>
      <w:r w:rsidRPr="00D423C6">
        <w:rPr>
          <w:b/>
          <w:sz w:val="20"/>
          <w:szCs w:val="20"/>
        </w:rPr>
        <w:t>согласования и принятия данных решений.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423C6" w:rsidRPr="00D423C6" w:rsidRDefault="00D423C6" w:rsidP="00D423C6">
      <w:pPr>
        <w:ind w:firstLine="540"/>
        <w:jc w:val="both"/>
        <w:rPr>
          <w:sz w:val="20"/>
          <w:szCs w:val="20"/>
        </w:rPr>
      </w:pPr>
      <w:r w:rsidRPr="00D423C6">
        <w:rPr>
          <w:sz w:val="20"/>
          <w:szCs w:val="20"/>
        </w:rPr>
        <w:t>12. Подготовка проектов докумен</w:t>
      </w:r>
      <w:r w:rsidRPr="00D423C6">
        <w:rPr>
          <w:sz w:val="20"/>
          <w:szCs w:val="20"/>
        </w:rPr>
        <w:softHyphen/>
        <w:t>тов осуществляется в соответствии с требованиями Регламента Федеральной налоговой службы, утвержденным приказом ФНС России, Административного регламента Управления, приказами и распоряжениями ФНС России и Управления по вопросам организации делопроизводства, а также иными нормативными правовыми актами.</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VII. Порядок служебного взаимодействия.</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 xml:space="preserve">13. </w:t>
      </w:r>
      <w:proofErr w:type="gramStart"/>
      <w:r w:rsidRPr="00D423C6">
        <w:rPr>
          <w:sz w:val="20"/>
          <w:szCs w:val="20"/>
        </w:rPr>
        <w:t xml:space="preserve">Взаимодействие государственного налогового инспектора с федеральными государственными гражданскими служащими управления,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 w:history="1">
        <w:r w:rsidRPr="00D423C6">
          <w:rPr>
            <w:sz w:val="20"/>
            <w:szCs w:val="20"/>
          </w:rPr>
          <w:t>принципов</w:t>
        </w:r>
      </w:hyperlink>
      <w:r w:rsidRPr="00D423C6">
        <w:rPr>
          <w:sz w:val="20"/>
          <w:szCs w:val="20"/>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423C6">
          <w:rPr>
            <w:sz w:val="20"/>
            <w:szCs w:val="20"/>
          </w:rPr>
          <w:t>2002 г</w:t>
        </w:r>
      </w:smartTag>
      <w:r w:rsidRPr="00D423C6">
        <w:rPr>
          <w:sz w:val="20"/>
          <w:szCs w:val="20"/>
        </w:rPr>
        <w:t>. № 885 "Об утверждении общих принципов служебного поведения государственных служащих" (Собрание законодательства Российской Федерации</w:t>
      </w:r>
      <w:proofErr w:type="gramEnd"/>
      <w:r w:rsidRPr="00D423C6">
        <w:rPr>
          <w:sz w:val="20"/>
          <w:szCs w:val="20"/>
        </w:rPr>
        <w:t xml:space="preserve">, </w:t>
      </w:r>
      <w:proofErr w:type="gramStart"/>
      <w:r w:rsidRPr="00D423C6">
        <w:rPr>
          <w:sz w:val="20"/>
          <w:szCs w:val="20"/>
        </w:rPr>
        <w:t xml:space="preserve">2002, № 33, ст. 3196; 2007, № 13, ст. 1531; 2009, N 29, ст. 3658), и требований к служебному поведению, установленных </w:t>
      </w:r>
      <w:hyperlink r:id="rId21" w:history="1">
        <w:r w:rsidRPr="00D423C6">
          <w:rPr>
            <w:sz w:val="20"/>
            <w:szCs w:val="20"/>
          </w:rPr>
          <w:t>статьей 18</w:t>
        </w:r>
      </w:hyperlink>
      <w:r w:rsidRPr="00D423C6">
        <w:rPr>
          <w:sz w:val="20"/>
          <w:szCs w:val="20"/>
        </w:rPr>
        <w:t xml:space="preserve"> Федерального закона от 27 июля </w:t>
      </w:r>
      <w:smartTag w:uri="urn:schemas-microsoft-com:office:smarttags" w:element="metricconverter">
        <w:smartTagPr>
          <w:attr w:name="ProductID" w:val="2004 г"/>
        </w:smartTagPr>
        <w:r w:rsidRPr="00D423C6">
          <w:rPr>
            <w:sz w:val="20"/>
            <w:szCs w:val="20"/>
          </w:rPr>
          <w:t>2004 г</w:t>
        </w:r>
      </w:smartTag>
      <w:r w:rsidRPr="00D423C6">
        <w:rPr>
          <w:sz w:val="20"/>
          <w:szCs w:val="20"/>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VIII. Перечень государственных услуг, оказываемых</w:t>
      </w:r>
    </w:p>
    <w:p w:rsidR="00D423C6" w:rsidRPr="00D423C6" w:rsidRDefault="00D423C6" w:rsidP="00D423C6">
      <w:pPr>
        <w:autoSpaceDE w:val="0"/>
        <w:autoSpaceDN w:val="0"/>
        <w:adjustRightInd w:val="0"/>
        <w:jc w:val="center"/>
        <w:rPr>
          <w:b/>
          <w:sz w:val="20"/>
          <w:szCs w:val="20"/>
        </w:rPr>
      </w:pPr>
      <w:r w:rsidRPr="00D423C6">
        <w:rPr>
          <w:b/>
          <w:sz w:val="20"/>
          <w:szCs w:val="20"/>
        </w:rPr>
        <w:t xml:space="preserve">гражданам и организациям в соответствии </w:t>
      </w:r>
      <w:proofErr w:type="gramStart"/>
      <w:r w:rsidRPr="00D423C6">
        <w:rPr>
          <w:b/>
          <w:sz w:val="20"/>
          <w:szCs w:val="20"/>
        </w:rPr>
        <w:t>с</w:t>
      </w:r>
      <w:proofErr w:type="gramEnd"/>
      <w:r w:rsidRPr="00D423C6">
        <w:rPr>
          <w:b/>
          <w:sz w:val="20"/>
          <w:szCs w:val="20"/>
        </w:rPr>
        <w:t xml:space="preserve"> административным</w:t>
      </w:r>
    </w:p>
    <w:p w:rsidR="00D423C6" w:rsidRPr="00D423C6" w:rsidRDefault="00D423C6" w:rsidP="00D423C6">
      <w:pPr>
        <w:autoSpaceDE w:val="0"/>
        <w:autoSpaceDN w:val="0"/>
        <w:adjustRightInd w:val="0"/>
        <w:jc w:val="center"/>
        <w:rPr>
          <w:b/>
          <w:sz w:val="20"/>
          <w:szCs w:val="20"/>
        </w:rPr>
      </w:pPr>
      <w:r w:rsidRPr="00D423C6">
        <w:rPr>
          <w:b/>
          <w:sz w:val="20"/>
          <w:szCs w:val="20"/>
        </w:rPr>
        <w:t>регламентом Федеральной налоговой службы.</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ind w:firstLine="540"/>
        <w:jc w:val="both"/>
        <w:rPr>
          <w:b/>
          <w:sz w:val="20"/>
          <w:szCs w:val="20"/>
          <w:u w:val="single"/>
        </w:rPr>
      </w:pPr>
      <w:r w:rsidRPr="00D423C6">
        <w:rPr>
          <w:sz w:val="20"/>
          <w:szCs w:val="20"/>
        </w:rPr>
        <w:t xml:space="preserve">14.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Управления </w:t>
      </w:r>
      <w:r w:rsidRPr="00D423C6">
        <w:rPr>
          <w:b/>
          <w:sz w:val="20"/>
          <w:szCs w:val="20"/>
          <w:u w:val="single"/>
        </w:rPr>
        <w:t>государственные услуги не оказывает.</w:t>
      </w:r>
    </w:p>
    <w:p w:rsidR="00D423C6" w:rsidRPr="00D423C6" w:rsidRDefault="00D423C6" w:rsidP="00D423C6">
      <w:pPr>
        <w:ind w:firstLine="540"/>
        <w:jc w:val="both"/>
        <w:rPr>
          <w:i/>
          <w:sz w:val="20"/>
          <w:szCs w:val="20"/>
          <w:highlight w:val="green"/>
        </w:rPr>
      </w:pP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IX. Показатели эффективности и результативности</w:t>
      </w:r>
    </w:p>
    <w:p w:rsidR="00D423C6" w:rsidRPr="00D423C6" w:rsidRDefault="00D423C6" w:rsidP="00D423C6">
      <w:pPr>
        <w:autoSpaceDE w:val="0"/>
        <w:autoSpaceDN w:val="0"/>
        <w:adjustRightInd w:val="0"/>
        <w:jc w:val="center"/>
        <w:rPr>
          <w:b/>
          <w:sz w:val="20"/>
          <w:szCs w:val="20"/>
        </w:rPr>
      </w:pPr>
      <w:r w:rsidRPr="00D423C6">
        <w:rPr>
          <w:b/>
          <w:sz w:val="20"/>
          <w:szCs w:val="20"/>
        </w:rPr>
        <w:t>профессиональной служебной деятельности.</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15. Эффективность профессиональной служебной деятельности государственного налогового инспектора оценивается по следующим показателям:</w:t>
      </w:r>
    </w:p>
    <w:p w:rsidR="00D423C6" w:rsidRPr="00D423C6" w:rsidRDefault="00D423C6" w:rsidP="00D423C6">
      <w:pPr>
        <w:autoSpaceDE w:val="0"/>
        <w:autoSpaceDN w:val="0"/>
        <w:adjustRightInd w:val="0"/>
        <w:ind w:firstLine="540"/>
        <w:jc w:val="both"/>
        <w:rPr>
          <w:sz w:val="20"/>
          <w:szCs w:val="20"/>
        </w:rPr>
      </w:pPr>
      <w:r w:rsidRPr="00D423C6">
        <w:rPr>
          <w:sz w:val="20"/>
          <w:szCs w:val="20"/>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423C6" w:rsidRPr="00D423C6" w:rsidRDefault="00D423C6" w:rsidP="00D423C6">
      <w:pPr>
        <w:autoSpaceDE w:val="0"/>
        <w:autoSpaceDN w:val="0"/>
        <w:adjustRightInd w:val="0"/>
        <w:ind w:firstLine="540"/>
        <w:jc w:val="both"/>
        <w:rPr>
          <w:sz w:val="20"/>
          <w:szCs w:val="20"/>
        </w:rPr>
      </w:pPr>
      <w:r w:rsidRPr="00D423C6">
        <w:rPr>
          <w:sz w:val="20"/>
          <w:szCs w:val="20"/>
        </w:rPr>
        <w:t>своевременности и оперативности выполнения поручений;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423C6" w:rsidRPr="00D423C6" w:rsidRDefault="00D423C6" w:rsidP="00D423C6">
      <w:pPr>
        <w:autoSpaceDE w:val="0"/>
        <w:autoSpaceDN w:val="0"/>
        <w:adjustRightInd w:val="0"/>
        <w:ind w:firstLine="540"/>
        <w:jc w:val="both"/>
        <w:rPr>
          <w:sz w:val="20"/>
          <w:szCs w:val="20"/>
        </w:rPr>
      </w:pPr>
      <w:r w:rsidRPr="00D423C6">
        <w:rPr>
          <w:sz w:val="20"/>
          <w:szCs w:val="20"/>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423C6" w:rsidRPr="00D423C6" w:rsidRDefault="00D423C6" w:rsidP="00D423C6">
      <w:pPr>
        <w:autoSpaceDE w:val="0"/>
        <w:autoSpaceDN w:val="0"/>
        <w:adjustRightInd w:val="0"/>
        <w:ind w:firstLine="540"/>
        <w:jc w:val="both"/>
        <w:rPr>
          <w:sz w:val="20"/>
          <w:szCs w:val="20"/>
        </w:rPr>
      </w:pPr>
      <w:r w:rsidRPr="00D423C6">
        <w:rPr>
          <w:sz w:val="20"/>
          <w:szCs w:val="20"/>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423C6" w:rsidRPr="00D423C6" w:rsidRDefault="00D423C6" w:rsidP="00D423C6">
      <w:pPr>
        <w:autoSpaceDE w:val="0"/>
        <w:autoSpaceDN w:val="0"/>
        <w:adjustRightInd w:val="0"/>
        <w:ind w:firstLine="540"/>
        <w:jc w:val="both"/>
        <w:rPr>
          <w:sz w:val="20"/>
          <w:szCs w:val="20"/>
        </w:rPr>
      </w:pPr>
      <w:r w:rsidRPr="00D423C6">
        <w:rPr>
          <w:sz w:val="20"/>
          <w:szCs w:val="20"/>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423C6" w:rsidRPr="00D423C6" w:rsidRDefault="00D423C6" w:rsidP="00D423C6">
      <w:pPr>
        <w:autoSpaceDE w:val="0"/>
        <w:autoSpaceDN w:val="0"/>
        <w:adjustRightInd w:val="0"/>
        <w:ind w:firstLine="540"/>
        <w:jc w:val="both"/>
        <w:rPr>
          <w:sz w:val="20"/>
          <w:szCs w:val="20"/>
        </w:rPr>
      </w:pPr>
      <w:r w:rsidRPr="00D423C6">
        <w:rPr>
          <w:sz w:val="20"/>
          <w:szCs w:val="20"/>
        </w:rPr>
        <w:t>осознанию ответственности за последствия своих действий.</w:t>
      </w:r>
    </w:p>
    <w:p w:rsidR="00D423C6" w:rsidRPr="005625DD" w:rsidRDefault="00D423C6" w:rsidP="00D423C6">
      <w:pPr>
        <w:autoSpaceDE w:val="0"/>
        <w:autoSpaceDN w:val="0"/>
        <w:adjustRightInd w:val="0"/>
        <w:ind w:firstLine="540"/>
        <w:jc w:val="both"/>
        <w:rPr>
          <w:sz w:val="26"/>
          <w:szCs w:val="26"/>
        </w:rPr>
      </w:pPr>
    </w:p>
    <w:p w:rsidR="00264A00" w:rsidRPr="00F342FE" w:rsidRDefault="00264A00" w:rsidP="00D423C6">
      <w:pPr>
        <w:pStyle w:val="ConsPlusNormal"/>
        <w:ind w:left="-567"/>
        <w:jc w:val="center"/>
      </w:pPr>
    </w:p>
    <w:sectPr w:rsidR="00264A00" w:rsidRPr="00F342FE" w:rsidSect="00151B05">
      <w:headerReference w:type="default" r:id="rId22"/>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EF" w:rsidRDefault="005D68EF" w:rsidP="001843F2">
      <w:r>
        <w:separator/>
      </w:r>
    </w:p>
  </w:endnote>
  <w:endnote w:type="continuationSeparator" w:id="0">
    <w:p w:rsidR="005D68EF" w:rsidRDefault="005D68E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EF" w:rsidRDefault="005D68EF" w:rsidP="001843F2">
      <w:r>
        <w:separator/>
      </w:r>
    </w:p>
  </w:footnote>
  <w:footnote w:type="continuationSeparator" w:id="0">
    <w:p w:rsidR="005D68EF" w:rsidRDefault="005D68EF" w:rsidP="001843F2">
      <w:r>
        <w:continuationSeparator/>
      </w:r>
    </w:p>
  </w:footnote>
  <w:footnote w:id="1">
    <w:p w:rsidR="005D68EF" w:rsidRDefault="005D68EF" w:rsidP="001843F2">
      <w:pPr>
        <w:pStyle w:val="a9"/>
        <w:ind w:firstLine="567"/>
      </w:pPr>
      <w:r>
        <w:rPr>
          <w:rStyle w:val="ab"/>
        </w:rPr>
        <w:t>*</w:t>
      </w:r>
      <w:r>
        <w:t> Нужное подчеркнуть.</w:t>
      </w:r>
    </w:p>
    <w:p w:rsidR="005D68EF" w:rsidRDefault="005D68EF" w:rsidP="001843F2">
      <w:pPr>
        <w:pStyle w:val="a9"/>
        <w:ind w:firstLine="567"/>
      </w:pPr>
    </w:p>
    <w:p w:rsidR="005D68EF" w:rsidRDefault="005D68EF" w:rsidP="001843F2">
      <w:pPr>
        <w:pStyle w:val="a9"/>
        <w:ind w:firstLine="567"/>
      </w:pPr>
    </w:p>
    <w:p w:rsidR="005D68EF" w:rsidRDefault="005D68EF" w:rsidP="001843F2">
      <w:pPr>
        <w:pStyle w:val="a9"/>
        <w:ind w:firstLine="567"/>
      </w:pPr>
    </w:p>
  </w:footnote>
  <w:footnote w:id="2">
    <w:p w:rsidR="005D68EF" w:rsidRPr="00151B05" w:rsidRDefault="005D68EF"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D68EF" w:rsidRPr="00151B05" w:rsidRDefault="005D68EF"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EF" w:rsidRDefault="005D68EF">
    <w:pPr>
      <w:pStyle w:val="af"/>
      <w:jc w:val="center"/>
    </w:pPr>
    <w:r>
      <w:fldChar w:fldCharType="begin"/>
    </w:r>
    <w:r>
      <w:instrText>PAGE   \* MERGEFORMAT</w:instrText>
    </w:r>
    <w:r>
      <w:fldChar w:fldCharType="separate"/>
    </w:r>
    <w:r w:rsidR="00E5575B">
      <w:rPr>
        <w:noProof/>
      </w:rPr>
      <w:t>30</w:t>
    </w:r>
    <w:r>
      <w:fldChar w:fldCharType="end"/>
    </w:r>
  </w:p>
  <w:p w:rsidR="005D68EF" w:rsidRDefault="005D68E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17ABE"/>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D68EF"/>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0EC4"/>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D42AF"/>
    <w:rsid w:val="00CF692E"/>
    <w:rsid w:val="00D1434A"/>
    <w:rsid w:val="00D423C6"/>
    <w:rsid w:val="00D472FE"/>
    <w:rsid w:val="00D47E19"/>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5575B"/>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47E3478AEBC70007BB991662A2CC6002E8E743C475DF8A2V8E" TargetMode="External"/><Relationship Id="rId18" Type="http://schemas.openxmlformats.org/officeDocument/2006/relationships/hyperlink" Target="consultantplus://offline/ref=DBA79BAB209A48BF5BF6FD088D4404A26F903D08CF4FCC9500D2578A2A966E2AF09EDB5649EB5FF4m9sBE" TargetMode="External"/><Relationship Id="rId3" Type="http://schemas.openxmlformats.org/officeDocument/2006/relationships/styles" Target="styles.xml"/><Relationship Id="rId21" Type="http://schemas.openxmlformats.org/officeDocument/2006/relationships/hyperlink" Target="consultantplus://offline/ref=DBA79BAB209A48BF5BF6FD088D4404A26F903D08CF4FCC9500D2578A2A966E2AF09EDB5649EB5FF4m9sBE" TargetMode="External"/><Relationship Id="rId7" Type="http://schemas.openxmlformats.org/officeDocument/2006/relationships/footnotes" Target="footnotes.xml"/><Relationship Id="rId12" Type="http://schemas.openxmlformats.org/officeDocument/2006/relationships/hyperlink" Target="consultantplus://offline/ref=133C2FF1C705E1D12CDABE9522681DF8A0D3733874A6BC70007BB991662A2CC6002E8E743C475DF9A2VFE" TargetMode="External"/><Relationship Id="rId17" Type="http://schemas.openxmlformats.org/officeDocument/2006/relationships/hyperlink" Target="consultantplus://offline/ref=DBA79BAB209A48BF5BF6FD088D4404A26F903D08CF4FCC9500D2578A2A966E2AF09EDB5649EB5FF6m9s6E" TargetMode="External"/><Relationship Id="rId2" Type="http://schemas.openxmlformats.org/officeDocument/2006/relationships/numbering" Target="numbering.xml"/><Relationship Id="rId16" Type="http://schemas.openxmlformats.org/officeDocument/2006/relationships/hyperlink" Target="consultantplus://offline/ref=DBA79BAB209A48BF5BF6FD088D4404A26F903D08CF4FCC9500D2578A2A966E2AF09EDB5649EB5FF1m9s1E" TargetMode="External"/><Relationship Id="rId20" Type="http://schemas.openxmlformats.org/officeDocument/2006/relationships/hyperlink" Target="consultantplus://offline/ref=DBA79BAB209A48BF5BF6FD088D4404A2669B3A08C54D919F088B5B882D99313DF7D7D75749EB5DmFs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BA79BAB209A48BF5BF6FD088D4404A26F903D08CF4FCC9500D2578A2A966E2AF09EDB5649EB5FF3m9s0E" TargetMode="External"/><Relationship Id="rId23" Type="http://schemas.openxmlformats.org/officeDocument/2006/relationships/fontTable" Target="fontTable.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DBA79BAB209A48BF5BF6FD088D4404A26F913F00CF47CC9500D2578A2A966E2AF09EDB5649EB5EF1m9s4E"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3A3B841DF39D8697D46FE6B6AAA36E59AB6FA69EF8D6B13FC3EF59E81558B97E6821EDCFC3087D2DGDk5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8B41-FEE6-46D4-81E7-D312626B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11431</Words>
  <Characters>65159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2023-03-29T00:26:00Z</cp:lastPrinted>
  <dcterms:created xsi:type="dcterms:W3CDTF">2023-07-17T22:54:00Z</dcterms:created>
  <dcterms:modified xsi:type="dcterms:W3CDTF">2023-07-17T22:54:00Z</dcterms:modified>
</cp:coreProperties>
</file>